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rId54.png" ContentType="image/png"/>
  <Override PartName="/word/media/rId57.png" ContentType="image/png"/>
  <Override PartName="/word/media/rId21.png" ContentType="image/png"/>
  <Override PartName="/word/media/rId32.png" ContentType="image/png"/>
  <Override PartName="/word/media/rId40.png" ContentType="image/png"/>
  <Override PartName="/word/media/rId45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</w:t>
      </w:r>
      <w:r>
        <w:t xml:space="preserve"> </w:t>
      </w:r>
      <w:r>
        <w:t xml:space="preserve">09</w:t>
      </w:r>
      <w:r>
        <w:t xml:space="preserve"> </w:t>
      </w:r>
      <w:r>
        <w:t xml:space="preserve">-</w:t>
      </w:r>
      <w:r>
        <w:t xml:space="preserve"> </w:t>
      </w:r>
      <w:r>
        <w:t xml:space="preserve">Amplitude</w:t>
      </w:r>
      <w:r>
        <w:t xml:space="preserve"> </w:t>
      </w:r>
      <w:r>
        <w:t xml:space="preserve">Modulation</w:t>
      </w:r>
    </w:p>
    <w:p>
      <w:pPr>
        <w:pStyle w:val="Subtitle"/>
      </w:pPr>
      <w:r>
        <w:t xml:space="preserve">EE-30023/31023,</w:t>
      </w:r>
      <w:r>
        <w:t xml:space="preserve"> </w:t>
      </w:r>
      <w:r>
        <w:t xml:space="preserve">Department</w:t>
      </w:r>
      <w:r>
        <w:t xml:space="preserve"> </w:t>
      </w:r>
      <w:r>
        <w:t xml:space="preserve">of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Engineering,</w:t>
      </w:r>
      <w:r>
        <w:t xml:space="preserve"> </w:t>
      </w:r>
      <w:r>
        <w:t xml:space="preserve">University</w:t>
      </w:r>
      <w:r>
        <w:t xml:space="preserve"> </w:t>
      </w:r>
      <w:r>
        <w:t xml:space="preserve">of</w:t>
      </w:r>
      <w:r>
        <w:t xml:space="preserve"> </w:t>
      </w:r>
      <w:r>
        <w:t xml:space="preserve">Notre</w:t>
      </w:r>
      <w:r>
        <w:t xml:space="preserve"> </w:t>
      </w:r>
      <w:r>
        <w:t xml:space="preserve">Dame</w: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In this lecture, we will develop carrier modulation and demodulation theory to be able to translate baseband (low-frequency) waveforms into passband (high-frequency) waveforms and back.</w:t>
      </w:r>
    </w:p>
    <w:bookmarkEnd w:id="20"/>
    <w:bookmarkStart w:id="25" w:name="motivation-in-course-context"/>
    <w:p>
      <w:pPr>
        <w:pStyle w:val="Heading2"/>
      </w:pPr>
      <w:r>
        <w:t xml:space="preserve">Motivation in Course Context</w:t>
      </w:r>
    </w:p>
    <w:p>
      <w:pPr>
        <w:pStyle w:val="FirstParagraph"/>
      </w:pPr>
      <w:r>
        <w:t xml:space="preserve">In the context of radio communication system block diagram below, we now have the understanding of how to generate and process low-frequency signals with our DAC and ADC, respectively. As we will see, in a few lectures, to emit wireless signals via an antenna, we will need to translate the low-frequency signals into high-frequency signals to which the antenna is tuned.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24" w:name="fig-fig1"/>
          <w:p>
            <w:pPr>
              <w:jc w:val="center"/>
            </w:pPr>
            <w:r>
              <w:drawing>
                <wp:inline>
                  <wp:extent cx="5943600" cy="3343275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mages/Lec09-0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1: TBD.</w:t>
            </w:r>
          </w:p>
          <w:bookmarkEnd w:id="24"/>
        </w:tc>
      </w:tr>
    </w:tbl>
    <w:p>
      <w:pPr>
        <w:pStyle w:val="BodyText"/>
      </w:pPr>
      <w:r>
        <w:t xml:space="preserve">The key take away from the antennas module is that, depending upon the geometry, they are</w:t>
      </w:r>
      <w:r>
        <w:t xml:space="preserve"> </w:t>
      </w:r>
      <w:r>
        <w:t xml:space="preserve">“</w:t>
      </w:r>
      <w:r>
        <w:t xml:space="preserve">resonant</w:t>
      </w:r>
      <w:r>
        <w:t xml:space="preserve">”</w:t>
      </w:r>
      <w:r>
        <w:t xml:space="preserve"> </w:t>
      </w:r>
      <w:r>
        <w:t xml:space="preserve">to particular frequencies. Unless the antennas are impractically large, they tend to prefer high-freqeuency, or passband signals.</w:t>
      </w:r>
    </w:p>
    <w:p>
      <w:pPr>
        <w:pStyle w:val="BodyText"/>
      </w:pPr>
      <w:r>
        <w:t xml:space="preserve">Thus, to continue building our radios we need to develop techniques and associated RF circuits to translate from baseband signals to passband signals and back.</w:t>
      </w:r>
    </w:p>
    <w:bookmarkEnd w:id="25"/>
    <w:bookmarkStart w:id="26" w:name="outline"/>
    <w:p>
      <w:pPr>
        <w:pStyle w:val="Heading2"/>
      </w:pPr>
      <w:r>
        <w:t xml:space="preserve">Outline</w:t>
      </w:r>
    </w:p>
    <w:p>
      <w:pPr>
        <w:numPr>
          <w:ilvl w:val="0"/>
          <w:numId w:val="1001"/>
        </w:numPr>
      </w:pPr>
      <w:r>
        <w:t xml:space="preserve">Baseband and Passband Signals</w:t>
      </w:r>
    </w:p>
    <w:p>
      <w:pPr>
        <w:numPr>
          <w:ilvl w:val="0"/>
          <w:numId w:val="1001"/>
        </w:numPr>
      </w:pPr>
      <w:r>
        <w:t xml:space="preserve">Carrier Modulation</w:t>
      </w:r>
    </w:p>
    <w:p>
      <w:pPr>
        <w:numPr>
          <w:ilvl w:val="0"/>
          <w:numId w:val="1001"/>
        </w:numPr>
      </w:pPr>
      <w:r>
        <w:t xml:space="preserve">Carrier Demodulation</w:t>
      </w:r>
    </w:p>
    <w:bookmarkEnd w:id="26"/>
    <w:bookmarkStart w:id="30" w:name="signal-classes"/>
    <w:p>
      <w:pPr>
        <w:pStyle w:val="Heading2"/>
      </w:pPr>
      <w:r>
        <w:t xml:space="preserve">Signal Classes</w:t>
      </w:r>
    </w:p>
    <w:p>
      <w:pPr>
        <w:pStyle w:val="FirstParagraph"/>
      </w:pPr>
      <w:r>
        <w:t xml:space="preserve">To begin, let us be clear about the two classes of signals upon which we focus.</w:t>
      </w:r>
    </w:p>
    <w:bookmarkStart w:id="27" w:name="baseband-signals"/>
    <w:p>
      <w:pPr>
        <w:pStyle w:val="Heading3"/>
      </w:pPr>
      <w:r>
        <w:t xml:space="preserve">Baseband Signals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iCs/>
          <w:i/>
        </w:rPr>
        <w:t xml:space="preserve">baseband signal</w:t>
      </w:r>
      <w:r>
        <w:t xml:space="preserve"> </w:t>
      </w:r>
      <w:r>
        <w:t xml:space="preserve">is either strictly bandlimited about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r>
          <m:t>0</m:t>
        </m:r>
      </m:oMath>
      <w:r>
        <w:t xml:space="preserve">, or has most of its signal energy concentrated about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Specifically, let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be a finite-energy signal with Fourier transform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</m:oMath>
      <w:r>
        <w:t xml:space="preserve">, and for a given frequency</w:t>
      </w:r>
      <w:r>
        <w:t xml:space="preserve"> </w:t>
      </w:r>
      <m:oMath>
        <m:r>
          <m:t>B</m:t>
        </m:r>
        <m:r>
          <m:rPr>
            <m:sty m:val="p"/>
          </m:rPr>
          <m:t>&gt;</m:t>
        </m:r>
        <m:r>
          <m:t>0</m:t>
        </m:r>
      </m:oMath>
      <w:r>
        <w:t xml:space="preserve">, let</w:t>
      </w:r>
    </w:p>
    <w:p>
      <w:pPr>
        <w:pStyle w:val="BodyText"/>
      </w:pPr>
      <m:oMathPara>
        <m:oMathParaPr>
          <m:jc m:val="center"/>
        </m:oMathParaPr>
        <m:oMath>
          <m:r>
            <m:t>β</m:t>
          </m:r>
          <m:d>
            <m:dPr>
              <m:begChr m:val="("/>
              <m:endChr m:val=")"/>
              <m:sepChr m:val=""/>
              <m:grow/>
            </m:dPr>
            <m:e>
              <m:r>
                <m:t>B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∫"/>
                  <m:limLoc m:val="subSup"/>
                  <m:subHide m:val="0"/>
                  <m:supHide m:val="1"/>
                </m:naryPr>
                <m:sub>
                  <m:d>
                    <m:dPr>
                      <m:begChr m:val="|"/>
                      <m:endChr m:val="|"/>
                      <m:sepChr m:val=""/>
                      <m:grow/>
                    </m:dPr>
                    <m:e>
                      <m:r>
                        <m:t>f</m:t>
                      </m:r>
                    </m:e>
                  </m:d>
                  <m:r>
                    <m:rPr>
                      <m:sty m:val="p"/>
                    </m:rPr>
                    <m:t>≤</m:t>
                  </m:r>
                  <m:r>
                    <m:t>B</m:t>
                  </m:r>
                </m:sub>
                <m:sup>
                  <m:r>
                    <m:t>​</m:t>
                  </m:r>
                </m:sup>
                <m:e>
                  <m:sSup>
                    <m:e>
                      <m:d>
                        <m:dPr>
                          <m:begChr m:val="|"/>
                          <m:endChr m:val="|"/>
                          <m:sepChr m:val=""/>
                          <m:grow/>
                        </m:dPr>
                        <m:e>
                          <m:r>
                            <m:t>X</m:t>
                          </m:r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t>f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  <m:r>
                <m:t>d</m:t>
              </m:r>
              <m:r>
                <m:t>f</m:t>
              </m:r>
            </m:num>
            <m:den>
              <m:sSub>
                <m:e>
                  <m:r>
                    <m:t>E</m:t>
                  </m:r>
                </m:e>
                <m:sub>
                  <m:r>
                    <m:t>x</m:t>
                  </m:r>
                </m:sub>
              </m:sSub>
            </m:den>
          </m:f>
        </m:oMath>
      </m:oMathPara>
    </w:p>
    <w:p>
      <w:pPr>
        <w:pStyle w:val="FirstParagraph"/>
      </w:pPr>
      <w:r>
        <w:t xml:space="preserve">Here</w:t>
      </w:r>
      <w:r>
        <w:t xml:space="preserve"> </w:t>
      </w:r>
      <m:oMath>
        <m:r>
          <m:t>β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</m:oMath>
      <w:r>
        <w:t xml:space="preserve"> </w:t>
      </w:r>
      <w:r>
        <w:t xml:space="preserve">is the fraction of the signal energy that lies in the frequency range</w:t>
      </w:r>
      <w:r>
        <w:t xml:space="preserve"> </w:t>
      </w:r>
      <m:oMath>
        <m:r>
          <m:t>f</m:t>
        </m:r>
        <m:r>
          <m:rPr>
            <m:sty m:val="p"/>
          </m:rPr>
          <m:t>∈</m:t>
        </m:r>
        <m:d>
          <m:dPr>
            <m:begChr m:val="["/>
            <m:endChr m:val="]"/>
            <m:sepChr m:val=""/>
            <m:grow/>
          </m:dPr>
          <m:e>
            <m:r>
              <m:rPr>
                <m:sty m:val="p"/>
              </m:rPr>
              <m:t>−</m:t>
            </m:r>
            <m:r>
              <m:t>B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  <w:r>
        <w:t xml:space="preserve">. Often, we want to identify the frequency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that has</w:t>
      </w:r>
      <w:r>
        <w:t xml:space="preserve"> </w:t>
      </w:r>
      <m:oMath>
        <m:r>
          <m:t>90</m:t>
        </m:r>
        <m:r>
          <m:rPr>
            <m:sty m:val="p"/>
          </m:rPr>
          <m:t>%</m:t>
        </m:r>
      </m:oMath>
      <w:r>
        <w:t xml:space="preserve">,</w:t>
      </w:r>
      <w:r>
        <w:t xml:space="preserve"> </w:t>
      </w:r>
      <m:oMath>
        <m:r>
          <m:t>95</m:t>
        </m:r>
        <m:r>
          <m:rPr>
            <m:sty m:val="p"/>
          </m:rPr>
          <m:t>%</m:t>
        </m:r>
      </m:oMath>
      <w:r>
        <w:t xml:space="preserve">,</w:t>
      </w:r>
      <w:r>
        <w:t xml:space="preserve"> </w:t>
      </w:r>
      <m:oMath>
        <m:r>
          <m:t>99</m:t>
        </m:r>
        <m:r>
          <m:rPr>
            <m:sty m:val="p"/>
          </m:rPr>
          <m:t>%</m:t>
        </m:r>
      </m:oMath>
      <w:r>
        <w:t xml:space="preserve">, (and so on) of the signal energy, which we would call the</w:t>
      </w:r>
      <w:r>
        <w:t xml:space="preserve"> </w:t>
      </w:r>
      <m:oMath>
        <m:r>
          <m:t>90</m:t>
        </m:r>
        <m:r>
          <m:rPr>
            <m:sty m:val="p"/>
          </m:rPr>
          <m:t>%</m:t>
        </m:r>
        <m:r>
          <m:rPr>
            <m:sty m:val="p"/>
          </m:rPr>
          <m:t>−</m:t>
        </m:r>
      </m:oMath>
      <w:r>
        <w:rPr>
          <w:iCs/>
          <w:i/>
        </w:rPr>
        <w:t xml:space="preserve">,</w:t>
      </w:r>
      <w:r>
        <w:rPr>
          <w:iCs/>
          <w:i/>
        </w:rPr>
        <w:t xml:space="preserve"> </w:t>
      </w:r>
      <m:oMath>
        <m:r>
          <m:t>95</m:t>
        </m:r>
        <m:r>
          <m:rPr>
            <m:sty m:val="p"/>
          </m:rPr>
          <m:t>%</m:t>
        </m:r>
        <m:r>
          <m:rPr>
            <m:sty m:val="p"/>
          </m:rPr>
          <m:t>−</m:t>
        </m:r>
      </m:oMath>
      <w:r>
        <w:rPr>
          <w:iCs/>
          <w:i/>
        </w:rPr>
        <w:t xml:space="preserve">,</w:t>
      </w:r>
      <w:r>
        <w:rPr>
          <w:iCs/>
          <w:i/>
        </w:rPr>
        <w:t xml:space="preserve"> </w:t>
      </w:r>
      <m:oMath>
        <m:r>
          <m:t>99</m:t>
        </m:r>
        <m:r>
          <m:rPr>
            <m:sty m:val="p"/>
          </m:rPr>
          <m:t>%</m:t>
        </m:r>
        <m:r>
          <m:rPr>
            <m:sty m:val="p"/>
          </m:rPr>
          <m:t>−</m:t>
        </m:r>
      </m:oMath>
      <w:r>
        <w:rPr>
          <w:iCs/>
          <w:i/>
        </w:rPr>
        <w:t xml:space="preserve"> </w:t>
      </w:r>
      <w:r>
        <w:rPr>
          <w:iCs/>
          <w:i/>
        </w:rPr>
        <w:t xml:space="preserve">(and so on) bandwidth</w:t>
      </w:r>
      <w:r>
        <w:t xml:space="preserve">, respectively. If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has a</w:t>
      </w:r>
      <w:r>
        <w:t xml:space="preserve"> </w:t>
      </w:r>
      <m:oMath>
        <m:r>
          <m:t>100</m:t>
        </m:r>
        <m:r>
          <m:rPr>
            <m:sty m:val="p"/>
          </m:rPr>
          <m:t>%</m:t>
        </m:r>
      </m:oMath>
      <w:r>
        <w:t xml:space="preserve"> </w:t>
      </w:r>
      <w:r>
        <w:t xml:space="preserve">bandwidth</w:t>
      </w:r>
      <w:r>
        <w:t xml:space="preserve"> </w:t>
      </w:r>
      <m:oMath>
        <m:r>
          <m:t>B</m:t>
        </m:r>
      </m:oMath>
      <w:r>
        <w:t xml:space="preserve">, then it is strictly bandlimited to max frequency</w:t>
      </w:r>
      <w:r>
        <w:t xml:space="preserve"> </w:t>
      </w:r>
      <m:oMath>
        <m:r>
          <m:t>B</m:t>
        </m:r>
      </m:oMath>
      <w:r>
        <w:t xml:space="preserve">.</w:t>
      </w:r>
    </w:p>
    <w:bookmarkEnd w:id="27"/>
    <w:bookmarkStart w:id="28" w:name="passband-signals"/>
    <w:p>
      <w:pPr>
        <w:pStyle w:val="Heading3"/>
      </w:pPr>
      <w:r>
        <w:t xml:space="preserve">Passband Signals</w:t>
      </w:r>
    </w:p>
    <w:p>
      <w:pPr>
        <w:pStyle w:val="FirstParagraph"/>
      </w:pPr>
      <w:r>
        <w:t xml:space="preserve">By contrast, a</w:t>
      </w:r>
      <w:r>
        <w:t xml:space="preserve"> </w:t>
      </w:r>
      <w:r>
        <w:rPr>
          <w:iCs/>
          <w:i/>
        </w:rPr>
        <w:t xml:space="preserve">passband signal</w:t>
      </w:r>
      <w:r>
        <w:t xml:space="preserve"> </w:t>
      </w:r>
      <w:r>
        <w:t xml:space="preserve">is one that has most of its energy centered about another frequency</w:t>
      </w:r>
      <w:r>
        <w:t xml:space="preserve"> </w:t>
      </w:r>
      <m:oMath>
        <m:sSub>
          <m:e>
            <m:r>
              <m:t>f</m:t>
            </m:r>
          </m:e>
          <m:sub>
            <m:r>
              <m:t>c</m:t>
            </m:r>
          </m:sub>
        </m:sSub>
        <m:r>
          <m:rPr>
            <m:sty m:val="p"/>
          </m:rPr>
          <m:t>≫</m:t>
        </m:r>
        <m:r>
          <m:t>0</m:t>
        </m:r>
      </m:oMath>
      <w:r>
        <w:t xml:space="preserve">, which is often called the</w:t>
      </w:r>
      <w:r>
        <w:t xml:space="preserve"> </w:t>
      </w:r>
      <w:r>
        <w:rPr>
          <w:iCs/>
          <w:i/>
        </w:rPr>
        <w:t xml:space="preserve">center frequency</w:t>
      </w:r>
      <w:r>
        <w:t xml:space="preserve"> </w:t>
      </w:r>
      <w:r>
        <w:t xml:space="preserve">of the signal.</w:t>
      </w:r>
    </w:p>
    <w:p>
      <w:pPr>
        <w:pStyle w:val="BodyText"/>
      </w:pPr>
      <w:r>
        <w:t xml:space="preserve">Specifically, let</w:t>
      </w:r>
    </w:p>
    <w:p>
      <w:pPr>
        <w:pStyle w:val="BodyText"/>
      </w:pPr>
      <m:oMathPara>
        <m:oMathParaPr>
          <m:jc m:val="center"/>
        </m:oMathParaPr>
        <m:oMath>
          <m:r>
            <m:t>β</m:t>
          </m:r>
          <m:d>
            <m:dPr>
              <m:begChr m:val="("/>
              <m:endChr m:val=")"/>
              <m:sepChr m:val=""/>
              <m:grow/>
            </m:dPr>
            <m:e>
              <m:sSub>
                <m:e>
                  <m:r>
                    <m:t>f</m:t>
                  </m:r>
                </m:e>
                <m:sub>
                  <m:r>
                    <m:t>c</m:t>
                  </m:r>
                </m:sub>
              </m:sSub>
              <m:r>
                <m:rPr>
                  <m:sty m:val="p"/>
                </m:rPr>
                <m:t>,</m:t>
              </m:r>
              <m:r>
                <m:t>B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∫"/>
                  <m:limLoc m:val="subSup"/>
                  <m:subHide m:val="0"/>
                  <m:supHide m:val="1"/>
                </m:naryPr>
                <m:sub>
                  <m:d>
                    <m:dPr>
                      <m:begChr m:val="|"/>
                      <m:endChr m:val="|"/>
                      <m:sepChr m:val=""/>
                      <m:grow/>
                    </m:dPr>
                    <m:e>
                      <m:r>
                        <m:t>f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≤</m:t>
                  </m:r>
                  <m:r>
                    <m:t>B</m:t>
                  </m:r>
                </m:sub>
                <m:sup>
                  <m:r>
                    <m:t>​</m:t>
                  </m:r>
                </m:sup>
                <m:e>
                  <m:sSup>
                    <m:e>
                      <m:d>
                        <m:dPr>
                          <m:begChr m:val="|"/>
                          <m:endChr m:val="|"/>
                          <m:sepChr m:val=""/>
                          <m:grow/>
                        </m:dPr>
                        <m:e>
                          <m:r>
                            <m:t>X</m:t>
                          </m:r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t>f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  <m:r>
                <m:t>d</m:t>
              </m:r>
              <m:r>
                <m:t>f</m:t>
              </m:r>
            </m:num>
            <m:den>
              <m:sSub>
                <m:e>
                  <m:r>
                    <m:t>E</m:t>
                  </m:r>
                </m:e>
                <m:sub>
                  <m:r>
                    <m:t>x</m:t>
                  </m:r>
                </m:sub>
              </m:sSub>
            </m:den>
          </m:f>
        </m:oMath>
      </m:oMathPara>
    </w:p>
    <w:p>
      <w:pPr>
        <w:pStyle w:val="FirstParagraph"/>
      </w:pPr>
      <w:r>
        <w:t xml:space="preserve">and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β</m:t>
              </m:r>
            </m:e>
            <m:sub>
              <m:r>
                <m:t>p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B</m:t>
              </m:r>
            </m:e>
          </m:d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max</m:t>
              </m:r>
            </m:e>
            <m:lim>
              <m:sSub>
                <m:e>
                  <m:r>
                    <m:t>f</m:t>
                  </m:r>
                </m:e>
                <m:sub>
                  <m:r>
                    <m:t>c</m:t>
                  </m:r>
                </m:sub>
              </m:sSub>
            </m:lim>
          </m:limLow>
          <m:r>
            <m:t>β</m:t>
          </m:r>
          <m:d>
            <m:dPr>
              <m:begChr m:val="("/>
              <m:endChr m:val=")"/>
              <m:sepChr m:val=""/>
              <m:grow/>
            </m:dPr>
            <m:e>
              <m:sSub>
                <m:e>
                  <m:r>
                    <m:t>f</m:t>
                  </m:r>
                </m:e>
                <m:sub>
                  <m:r>
                    <m:t>c</m:t>
                  </m:r>
                </m:sub>
              </m:sSub>
              <m:r>
                <m:rPr>
                  <m:sty m:val="p"/>
                </m:rPr>
                <m:t>,</m:t>
              </m:r>
              <m:r>
                <m:t>B</m:t>
              </m:r>
            </m:e>
          </m:d>
        </m:oMath>
      </m:oMathPara>
    </w:p>
    <w:p>
      <w:pPr>
        <w:pStyle w:val="FirstParagraph"/>
      </w:pPr>
      <w:r>
        <w:t xml:space="preserve">The notions of</w:t>
      </w:r>
      <w:r>
        <w:t xml:space="preserve"> </w:t>
      </w:r>
      <m:oMath>
        <m:r>
          <m:t>9</m:t>
        </m:r>
        <m:r>
          <m:t>x</m:t>
        </m:r>
        <m:r>
          <m:rPr>
            <m:sty m:val="p"/>
          </m:rPr>
          <m:t>%</m:t>
        </m:r>
      </m:oMath>
      <w:r>
        <w:t xml:space="preserve">-passband bandwidth about a center frequency</w:t>
      </w:r>
      <w:r>
        <w:t xml:space="preserve"> </w:t>
      </w:r>
      <m:oMath>
        <m:sSub>
          <m:e>
            <m:r>
              <m:t>f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are analogous to those of $9x%-baseband bandwidth about DC.</w:t>
      </w:r>
    </w:p>
    <w:bookmarkEnd w:id="28"/>
    <w:bookmarkStart w:id="29" w:name="bandwidth"/>
    <w:p>
      <w:pPr>
        <w:pStyle w:val="Heading3"/>
      </w:pPr>
      <w:r>
        <w:t xml:space="preserve">Bandwidth</w:t>
      </w:r>
    </w:p>
    <w:p>
      <w:pPr>
        <w:pStyle w:val="FirstParagraph"/>
      </w:pPr>
      <w:r>
        <w:t xml:space="preserve">By convention,</w:t>
      </w:r>
      <w:r>
        <w:t xml:space="preserve"> </w:t>
      </w:r>
      <w:r>
        <w:rPr>
          <w:iCs/>
          <w:i/>
        </w:rPr>
        <w:t xml:space="preserve">bandwidth</w:t>
      </w:r>
      <w:r>
        <w:t xml:space="preserve"> </w:t>
      </w:r>
      <w:r>
        <w:t xml:space="preserve">of a real-valued signal is a measure of the range of positive frequencies of a signal that contain most of its energy. So a baseband signal that has most of its energy in the interval</w:t>
      </w:r>
      <w:r>
        <w:t xml:space="preserve"> </w:t>
      </w:r>
      <m:oMath>
        <m:r>
          <m:t>f</m:t>
        </m:r>
        <m:r>
          <m:rPr>
            <m:sty m:val="p"/>
          </m:rPr>
          <m:t>∈</m:t>
        </m:r>
        <m:d>
          <m:dPr>
            <m:begChr m:val="["/>
            <m:endChr m:val="]"/>
            <m:sepChr m:val=""/>
            <m:grow/>
          </m:dPr>
          <m:e>
            <m:r>
              <m:rPr>
                <m:sty m:val="p"/>
              </m:rPr>
              <m:t>−</m:t>
            </m:r>
            <m:r>
              <m:t>B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  <w:r>
        <w:t xml:space="preserve"> </w:t>
      </w:r>
      <w:r>
        <w:t xml:space="preserve">is said to have</w:t>
      </w:r>
      <w:r>
        <w:t xml:space="preserve"> </w:t>
      </w:r>
      <w:r>
        <w:rPr>
          <w:iCs/>
          <w:i/>
        </w:rPr>
        <w:t xml:space="preserve">(baseband) bandwidth</w:t>
      </w:r>
      <w:r>
        <w:rPr>
          <w:iCs/>
          <w:i/>
        </w:rPr>
        <w:t xml:space="preserve"> </w:t>
      </w:r>
      <m:oMath>
        <m:r>
          <m:t>B</m:t>
        </m:r>
      </m:oMath>
      <w:r>
        <w:t xml:space="preserve">, while a passband signal that has most of its energy in the intervals</w:t>
      </w:r>
      <w:r>
        <w:t xml:space="preserve"> </w:t>
      </w:r>
      <m:oMath>
        <m:r>
          <m:t>f</m:t>
        </m:r>
        <m:r>
          <m:rPr>
            <m:sty m:val="p"/>
          </m:rPr>
          <m:t>∈</m:t>
        </m:r>
        <m:d>
          <m:dPr>
            <m:begChr m:val="["/>
            <m:endChr m:val="]"/>
            <m:sepChr m:val=""/>
            <m:grow/>
          </m:dPr>
          <m:e>
            <m:r>
              <m:rPr>
                <m:sty m:val="p"/>
              </m:rPr>
              <m:t>−</m:t>
            </m:r>
            <m:sSub>
              <m:e>
                <m:r>
                  <m:t>f</m:t>
                </m:r>
              </m:e>
              <m:sub>
                <m:r>
                  <m:t>c</m:t>
                </m:r>
              </m:sub>
            </m:sSub>
            <m:r>
              <m:rPr>
                <m:sty m:val="p"/>
              </m:rPr>
              <m:t>−</m:t>
            </m:r>
            <m:r>
              <m:t>B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b>
              <m:e>
                <m:r>
                  <m:t>f</m:t>
                </m:r>
              </m:e>
              <m:sub>
                <m:r>
                  <m:t>c</m:t>
                </m:r>
              </m:sub>
            </m:sSub>
            <m:r>
              <m:rPr>
                <m:sty m:val="p"/>
              </m:rPr>
              <m:t>+</m:t>
            </m:r>
            <m:r>
              <m:t>B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rPr>
            <m:sty m:val="p"/>
          </m:rPr>
          <m:t>∈</m:t>
        </m:r>
        <m:d>
          <m:dPr>
            <m:begChr m:val="["/>
            <m:endChr m:val="]"/>
            <m:sepChr m:val=""/>
            <m:grow/>
          </m:dPr>
          <m:e>
            <m:sSub>
              <m:e>
                <m:r>
                  <m:t>f</m:t>
                </m:r>
              </m:e>
              <m:sub>
                <m:r>
                  <m:t>c</m:t>
                </m:r>
              </m:sub>
            </m:sSub>
            <m:r>
              <m:rPr>
                <m:sty m:val="p"/>
              </m:rPr>
              <m:t>−</m:t>
            </m:r>
            <m:r>
              <m:t>B</m:t>
            </m:r>
            <m:r>
              <m:rPr>
                <m:sty m:val="p"/>
              </m:rPr>
              <m:t>,</m:t>
            </m:r>
            <m:sSub>
              <m:e>
                <m:r>
                  <m:t>f</m:t>
                </m:r>
              </m:e>
              <m:sub>
                <m:r>
                  <m:t>c</m:t>
                </m:r>
              </m:sub>
            </m:sSub>
            <m:r>
              <m:rPr>
                <m:sty m:val="p"/>
              </m:rPr>
              <m:t>+</m:t>
            </m:r>
            <m:r>
              <m:t>B</m:t>
            </m:r>
          </m:e>
        </m:d>
      </m:oMath>
      <w:r>
        <w:t xml:space="preserve"> </w:t>
      </w:r>
      <w:r>
        <w:t xml:space="preserve">is said to have</w:t>
      </w:r>
      <w:r>
        <w:t xml:space="preserve"> </w:t>
      </w:r>
      <w:r>
        <w:rPr>
          <w:iCs/>
          <w:i/>
        </w:rPr>
        <w:t xml:space="preserve">passband bandwidth</w:t>
      </w:r>
      <w:r>
        <w:rPr>
          <w:iCs/>
          <w:i/>
        </w:rPr>
        <w:t xml:space="preserve"> </w:t>
      </w:r>
      <m:oMath>
        <m:r>
          <m:t>2</m:t>
        </m:r>
        <m:r>
          <m:t>B</m:t>
        </m:r>
      </m:oMath>
      <w:r>
        <w:t xml:space="preserve">.</w:t>
      </w:r>
    </w:p>
    <w:bookmarkEnd w:id="29"/>
    <w:bookmarkEnd w:id="30"/>
    <w:bookmarkStart w:id="37" w:name="amplitude-modulation"/>
    <w:p>
      <w:pPr>
        <w:pStyle w:val="Heading2"/>
      </w:pPr>
      <w:r>
        <w:t xml:space="preserve">Amplitude Modulation</w:t>
      </w:r>
    </w:p>
    <w:p>
      <w:pPr>
        <w:pStyle w:val="FirstParagraph"/>
      </w:pPr>
      <w:r>
        <w:t xml:space="preserve">We begin with a real-valued, baseband signal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. Let</w:t>
      </w:r>
      <w:r>
        <w:t xml:space="preserve"> </w:t>
      </w:r>
      <m:oMath>
        <m:r>
          <m:t>B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denote the baseband bandwidth of this signal, so that its Fourier transform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</m:oMath>
      <w:r>
        <w:t xml:space="preserve">,</w:t>
      </w:r>
      <w:r>
        <w:t xml:space="preserve"> </w:t>
      </w:r>
      <m:oMath>
        <m:r>
          <m:t>f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, satisfies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t>M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f</m:t>
                </m:r>
              </m:e>
            </m:d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t>f</m:t>
            </m:r>
          </m:e>
        </m:d>
        <m:r>
          <m:rPr>
            <m:sty m:val="p"/>
          </m:rPr>
          <m:t>&gt;</m:t>
        </m:r>
        <m:r>
          <m:t>B</m:t>
        </m:r>
      </m:oMath>
      <w:r>
        <w:t xml:space="preserve">.</w:t>
      </w:r>
    </w:p>
    <w:p>
      <w:pPr>
        <w:pStyle w:val="BodyText"/>
      </w:pPr>
      <w:r>
        <w:t xml:space="preserve">Suppose that we wish to represent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as a passband signal that is centered at frequency</w:t>
      </w:r>
      <w:r>
        <w:t xml:space="preserve"> </w:t>
      </w:r>
      <m:oMath>
        <m:sSub>
          <m:e>
            <m:r>
              <m:t>f</m:t>
            </m:r>
          </m:e>
          <m:sub>
            <m:r>
              <m:t>c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.</w:t>
      </w:r>
    </w:p>
    <w:bookmarkStart w:id="31" w:name="idea-1"/>
    <w:p>
      <w:pPr>
        <w:pStyle w:val="Heading3"/>
      </w:pPr>
      <w:r>
        <w:t xml:space="preserve">Idea #1</w:t>
      </w:r>
    </w:p>
    <w:p>
      <w:pPr>
        <w:pStyle w:val="FirstParagraph"/>
      </w:pPr>
      <w:r>
        <w:t xml:space="preserve">Looking at the problem strictly in the frequency domain, a fairly intuitive idea to pursue is to translate the signal as follows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1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</m:e>
          </m:d>
          <m:r>
            <m:rPr>
              <m:sty m:val="p"/>
            </m:rPr>
            <m:t>=</m:t>
          </m:r>
          <m:r>
            <m:t>M</m:t>
          </m:r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f</m:t>
                  </m:r>
                </m:e>
                <m:sub>
                  <m:r>
                    <m:t>c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The corresponding relationship in the time domain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1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r>
            <m:t>m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c</m:t>
                  </m:r>
                </m:sub>
              </m:sSub>
              <m:r>
                <m:t>t</m:t>
              </m:r>
            </m:sup>
          </m:sSup>
        </m:oMath>
      </m:oMathPara>
    </w:p>
    <w:p>
      <w:pPr>
        <w:pStyle w:val="FirstParagraph"/>
      </w:pPr>
      <w:r>
        <w:t xml:space="preserve">that is, multiplication by a complex exponential with frequency</w:t>
      </w:r>
      <w:r>
        <w:t xml:space="preserve"> </w:t>
      </w:r>
      <m:oMath>
        <m:sSub>
          <m:e>
            <m:r>
              <m:t>f</m:t>
            </m:r>
          </m:e>
          <m:sub>
            <m:r>
              <m:t>c</m:t>
            </m:r>
          </m:sub>
        </m:sSub>
      </m:oMath>
      <w:r>
        <w:t xml:space="preserve">. Although simple mathematically, the result is a complex-valued signal that we cannot implement in real circuits.</w:t>
      </w:r>
    </w:p>
    <w:bookmarkEnd w:id="31"/>
    <w:bookmarkStart w:id="36" w:name="idea-2"/>
    <w:p>
      <w:pPr>
        <w:pStyle w:val="Heading3"/>
      </w:pPr>
      <w:r>
        <w:t xml:space="preserve">Idea #2</w:t>
      </w:r>
    </w:p>
    <w:p>
      <w:pPr>
        <w:pStyle w:val="FirstParagraph"/>
      </w:pPr>
      <w:r>
        <w:t xml:space="preserve">Now suppose that we simply force the signal to be real by taking the real part of</w:t>
      </w:r>
      <w:r>
        <w:t xml:space="preserve"> </w:t>
      </w:r>
      <m:oMath>
        <m:sSub>
          <m:e>
            <m:r>
              <m:t>s</m:t>
            </m:r>
          </m:e>
          <m:sub>
            <m:r>
              <m:t>1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i.e.,</w:t>
      </w:r>
    </w:p>
    <w:p>
      <w:pPr>
        <w:pStyle w:val="BodyText"/>
      </w:pPr>
    </w:p>
    <w:p>
      <w:pPr>
        <w:pStyle w:val="BodyText"/>
      </w:pPr>
      <w:r>
        <w:t xml:space="preserve">where the last step is valid because we assumed that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real-valued.</w:t>
      </w:r>
    </w:p>
    <w:p>
      <w:pPr>
        <w:pStyle w:val="BodyText"/>
      </w:pPr>
      <w:r>
        <w:t xml:space="preserve">The diagram below is often used as a block diagram representation of the modulation.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35" w:name="fig-fig2"/>
          <w:p>
            <w:pPr>
              <w:jc w:val="center"/>
            </w:pPr>
            <w:r>
              <w:drawing>
                <wp:inline>
                  <wp:extent cx="5943600" cy="3343275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images/Lec09-02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2: TBD</w:t>
            </w:r>
          </w:p>
          <w:bookmarkEnd w:id="35"/>
        </w:tc>
      </w:tr>
    </w:tbl>
    <w:p>
      <w:pPr>
        <w:pStyle w:val="BodyText"/>
      </w:pPr>
      <w:r>
        <w:t xml:space="preserve">This multiplication is often called a</w:t>
      </w:r>
      <w:r>
        <w:t xml:space="preserve"> </w:t>
      </w:r>
      <w:r>
        <w:rPr>
          <w:iCs/>
          <w:i/>
        </w:rPr>
        <w:t xml:space="preserve">modulation</w:t>
      </w:r>
      <w:r>
        <w:t xml:space="preserve">, and the signal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often called the</w:t>
      </w:r>
      <w:r>
        <w:t xml:space="preserve"> </w:t>
      </w:r>
      <w:r>
        <w:rPr>
          <w:iCs/>
          <w:i/>
        </w:rPr>
        <w:t xml:space="preserve">carrier signal</w:t>
      </w:r>
      <w:r>
        <w:t xml:space="preserve">.</w:t>
      </w:r>
    </w:p>
    <w:p>
      <w:pPr>
        <w:pStyle w:val="BodyText"/>
      </w:pPr>
      <w:r>
        <w:t xml:space="preserve">In the frequency domain, the relationship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2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d>
            <m:dPr>
              <m:begChr m:val="["/>
              <m:endChr m:val="]"/>
              <m:sepChr m:val=""/>
              <m:grow/>
            </m:dPr>
            <m:e>
              <m:r>
                <m:t>M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c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t>M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c</m:t>
                      </m:r>
                    </m:sub>
                  </m:sSub>
                </m:e>
              </m:d>
            </m:e>
          </m:d>
        </m:oMath>
      </m:oMathPara>
    </w:p>
    <w:p>
      <w:pPr>
        <w:pStyle w:val="FirstParagraph"/>
      </w:pPr>
      <w:r>
        <w:t xml:space="preserve">which can be obtained either my considering the convolution of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</m:oMath>
      <w:r>
        <w:t xml:space="preserve"> </w:t>
      </w:r>
      <w:r>
        <w:t xml:space="preserve">with the (generalized) Fourier transform of the cosine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["/>
            <m:endChr m:val="]"/>
            <m:sepChr m:val=""/>
            <m:grow/>
          </m:dPr>
          <m:e>
            <m:r>
              <m:t>δ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f</m:t>
                </m:r>
                <m:r>
                  <m:rPr>
                    <m:sty m:val="p"/>
                  </m:rPr>
                  <m:t>−</m:t>
                </m:r>
                <m:sSub>
                  <m:e>
                    <m:r>
                      <m:t>f</m:t>
                    </m:r>
                  </m:e>
                  <m:sub>
                    <m:r>
                      <m:t>c</m:t>
                    </m:r>
                  </m:sub>
                </m:sSub>
              </m:e>
            </m:d>
            <m:r>
              <m:rPr>
                <m:sty m:val="p"/>
              </m:rPr>
              <m:t>+</m:t>
            </m:r>
            <m:r>
              <m:t>δ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f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f</m:t>
                    </m:r>
                  </m:e>
                  <m:sub>
                    <m:r>
                      <m:t>c</m:t>
                    </m:r>
                  </m:sub>
                </m:sSub>
              </m:e>
            </m:d>
          </m:e>
        </m:d>
      </m:oMath>
      <w:r>
        <w:t xml:space="preserve"> </w:t>
      </w:r>
      <w:r>
        <w:t xml:space="preserve">or by considering the Fourier transform of</w:t>
      </w:r>
      <w:r>
        <w:t xml:space="preserve"> </w:t>
      </w:r>
      <m:oMath>
        <m:sSub>
          <m:e>
            <m:r>
              <m:t>s</m:t>
            </m:r>
          </m:e>
          <m:sub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["/>
            <m:endChr m:val="]"/>
            <m:sepChr m:val=""/>
            <m:grow/>
          </m:dPr>
          <m:e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</m:e>
            </m:d>
            <m:r>
              <m:rPr>
                <m:sty m:val="p"/>
              </m:rPr>
              <m:t>+</m:t>
            </m:r>
            <m:sSubSup>
              <m:e>
                <m:r>
                  <m:t>s</m:t>
                </m:r>
              </m:e>
              <m:sub>
                <m:r>
                  <m:t>1</m:t>
                </m:r>
              </m:sub>
              <m:sup>
                <m:r>
                  <m:rPr>
                    <m:sty m:val="p"/>
                  </m:rPr>
                  <m:t>*</m:t>
                </m:r>
              </m:sup>
            </m:sSubSup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In words, the modulation creates two</w:t>
      </w:r>
      <w:r>
        <w:t xml:space="preserve"> </w:t>
      </w:r>
      <w:r>
        <w:rPr>
          <w:iCs/>
          <w:i/>
        </w:rPr>
        <w:t xml:space="preserve">copies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images</w:t>
      </w:r>
      <w:r>
        <w:t xml:space="preserve"> </w:t>
      </w:r>
      <w:r>
        <w:t xml:space="preserve">of the spectrum of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namely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  <m:r>
              <m:rPr>
                <m:sty m:val="p"/>
              </m:rPr>
              <m:t>−</m:t>
            </m:r>
            <m:sSub>
              <m:e>
                <m:r>
                  <m:t>f</m:t>
                </m:r>
              </m:e>
              <m:sub>
                <m:r>
                  <m:t>c</m:t>
                </m:r>
              </m:sub>
            </m:sSub>
          </m:e>
        </m:d>
      </m:oMath>
      <w:r>
        <w:t xml:space="preserve"> </w:t>
      </w:r>
      <w:r>
        <w:t xml:space="preserve">centered at</w:t>
      </w:r>
      <w:r>
        <w:t xml:space="preserve"> </w:t>
      </w:r>
      <m:oMath>
        <m:r>
          <m:rPr>
            <m:sty m:val="p"/>
          </m:rPr>
          <m:t>+</m:t>
        </m:r>
        <m:sSub>
          <m:e>
            <m:r>
              <m:t>f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and and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  <m:r>
              <m:rPr>
                <m:sty m:val="p"/>
              </m:rPr>
              <m:t>+</m:t>
            </m:r>
            <m:sSub>
              <m:e>
                <m:r>
                  <m:t>f</m:t>
                </m:r>
              </m:e>
              <m:sub>
                <m:r>
                  <m:t>c</m:t>
                </m:r>
              </m:sub>
            </m:sSub>
          </m:e>
        </m:d>
      </m:oMath>
      <w:r>
        <w:t xml:space="preserve"> </w:t>
      </w:r>
      <w:r>
        <w:t xml:space="preserve">centered at</w:t>
      </w:r>
      <w:r>
        <w:t xml:space="preserve"> </w:t>
      </w:r>
      <m:oMath>
        <m:r>
          <m:rPr>
            <m:sty m:val="p"/>
          </m:rPr>
          <m:t>−</m:t>
        </m:r>
        <m:sSub>
          <m:e>
            <m:r>
              <m:t>f</m:t>
            </m:r>
          </m:e>
          <m:sub>
            <m:r>
              <m:t>c</m:t>
            </m:r>
          </m:sub>
        </m:sSub>
      </m:oMath>
      <w:r>
        <w:t xml:space="preserve">.</w:t>
      </w:r>
    </w:p>
    <w:p>
      <w:pPr>
        <w:pStyle w:val="BodyText"/>
      </w:pPr>
      <w:r>
        <w:t xml:space="preserve">We note that the highest frequency of the modulated signal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</w:t>
      </w:r>
      <w:r>
        <w:t xml:space="preserve"> </w:t>
      </w:r>
      <m:oMath>
        <m:sSub>
          <m:e>
            <m:r>
              <m:t>f</m:t>
            </m:r>
          </m:e>
          <m:sub>
            <m:r>
              <m:t>c</m:t>
            </m:r>
          </m:sub>
        </m:sSub>
        <m:r>
          <m:rPr>
            <m:sty m:val="p"/>
          </m:rPr>
          <m:t>+</m:t>
        </m:r>
        <m:r>
          <m:t>B</m:t>
        </m:r>
      </m:oMath>
      <w:r>
        <w:t xml:space="preserve">.</w:t>
      </w:r>
    </w:p>
    <w:p>
      <w:pPr>
        <w:pStyle w:val="BodyText"/>
      </w:pPr>
      <w:r>
        <w:t xml:space="preserve">To ensure that the images do not overlap in the frequency domain, we require</w:t>
      </w:r>
      <w:r>
        <w:t xml:space="preserve"> </w:t>
      </w:r>
      <m:oMath>
        <m:sSub>
          <m:e>
            <m:r>
              <m:t>f</m:t>
            </m:r>
          </m:e>
          <m:sub>
            <m:r>
              <m:t>c</m:t>
            </m:r>
          </m:sub>
        </m:sSub>
        <m:r>
          <m:rPr>
            <m:sty m:val="p"/>
          </m:rPr>
          <m:t>&gt;</m:t>
        </m:r>
        <m:r>
          <m:t>2</m:t>
        </m:r>
        <m:r>
          <m:t>B</m:t>
        </m:r>
      </m:oMath>
      <w:r>
        <w:t xml:space="preserve">, but very often</w:t>
      </w:r>
      <w:r>
        <w:t xml:space="preserve"> </w:t>
      </w:r>
      <m:oMath>
        <m:sSub>
          <m:e>
            <m:r>
              <m:t>f</m:t>
            </m:r>
          </m:e>
          <m:sub>
            <m:r>
              <m:t>c</m:t>
            </m:r>
          </m:sub>
        </m:sSub>
        <m:r>
          <m:rPr>
            <m:sty m:val="p"/>
          </m:rPr>
          <m:t>≫</m:t>
        </m:r>
        <m:r>
          <m:t>2</m:t>
        </m:r>
        <m:r>
          <m:t>B</m:t>
        </m:r>
      </m:oMath>
      <w:r>
        <w:t xml:space="preserve">.</w:t>
      </w:r>
    </w:p>
    <w:p>
      <w:pPr>
        <w:pStyle w:val="BodyText"/>
      </w:pPr>
      <w:r>
        <w:t xml:space="preserve">Some common terminology associated with this modulation scheme includes:</w:t>
      </w:r>
    </w:p>
    <w:p>
      <w:pPr>
        <w:numPr>
          <w:ilvl w:val="0"/>
          <w:numId w:val="1002"/>
        </w:numPr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called the</w:t>
      </w:r>
      <w:r>
        <w:t xml:space="preserve"> </w:t>
      </w:r>
      <w:r>
        <w:rPr>
          <w:iCs/>
          <w:i/>
        </w:rPr>
        <w:t xml:space="preserve">message signal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modulating signal</w:t>
      </w:r>
    </w:p>
    <w:p>
      <w:pPr>
        <w:numPr>
          <w:ilvl w:val="0"/>
          <w:numId w:val="1002"/>
        </w:numPr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called the</w:t>
      </w:r>
      <w:r>
        <w:t xml:space="preserve"> </w:t>
      </w:r>
      <w:r>
        <w:rPr>
          <w:iCs/>
          <w:i/>
        </w:rPr>
        <w:t xml:space="preserve">carrier signal</w:t>
      </w:r>
    </w:p>
    <w:p>
      <w:pPr>
        <w:numPr>
          <w:ilvl w:val="0"/>
          <w:numId w:val="1002"/>
        </w:numPr>
      </w:pPr>
      <m:oMath>
        <m:sSub>
          <m:e>
            <m:r>
              <m:t>f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is called the</w:t>
      </w:r>
      <w:r>
        <w:t xml:space="preserve"> </w:t>
      </w:r>
      <w:r>
        <w:rPr>
          <w:iCs/>
          <w:i/>
        </w:rPr>
        <w:t xml:space="preserve">carrier frequency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center frequency</w:t>
      </w:r>
    </w:p>
    <w:p>
      <w:pPr>
        <w:numPr>
          <w:ilvl w:val="0"/>
          <w:numId w:val="1002"/>
        </w:numPr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modulates the amplitude of the carrier signal, so the method is called</w:t>
      </w:r>
      <w:r>
        <w:t xml:space="preserve"> </w:t>
      </w:r>
      <w:r>
        <w:rPr>
          <w:iCs/>
          <w:i/>
        </w:rPr>
        <w:t xml:space="preserve">amplitude modulation</w:t>
      </w:r>
      <w:r>
        <w:t xml:space="preserve">. More specifically, it is called</w:t>
      </w:r>
      <w:r>
        <w:t xml:space="preserve"> </w:t>
      </w:r>
      <w:r>
        <w:rPr>
          <w:iCs/>
          <w:i/>
        </w:rPr>
        <w:t xml:space="preserve">double sideband suppressed carrier (DSB-SC)</w:t>
      </w:r>
      <w:r>
        <w:t xml:space="preserve"> </w:t>
      </w:r>
      <w:r>
        <w:t xml:space="preserve">modulation</w:t>
      </w:r>
    </w:p>
    <w:bookmarkEnd w:id="36"/>
    <w:bookmarkEnd w:id="37"/>
    <w:bookmarkStart w:id="39" w:name="amplitude-demodulation"/>
    <w:p>
      <w:pPr>
        <w:pStyle w:val="Heading2"/>
      </w:pPr>
      <w:r>
        <w:t xml:space="preserve">Amplitude Demodulation</w:t>
      </w:r>
    </w:p>
    <w:p>
      <w:pPr>
        <w:pStyle w:val="FirstParagraph"/>
      </w:pPr>
      <w:r>
        <w:t xml:space="preserve">Now suppose we have the opposed problem, named, we want to convert from a passband signal</w:t>
      </w:r>
      <w:r>
        <w:t xml:space="preserve"> </w:t>
      </w:r>
      <m:oMath>
        <m:sSub>
          <m:e>
            <m:r>
              <m:t>s</m:t>
            </m:r>
          </m:e>
          <m:sub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back to a baseband signal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</w:t>
      </w:r>
    </w:p>
    <w:bookmarkStart w:id="38" w:name="idea-1-1"/>
    <w:p>
      <w:pPr>
        <w:pStyle w:val="Heading3"/>
      </w:pPr>
      <w:r>
        <w:t xml:space="preserve">Idea #1</w:t>
      </w:r>
    </w:p>
    <w:p>
      <w:pPr>
        <w:pStyle w:val="FirstParagraph"/>
      </w:pPr>
      <w:r>
        <w:t xml:space="preserve">Looking at the problem strictly in the frequency domain, a fairly intuitive idea to pursue is to translate the signal as follows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M</m:t>
                  </m:r>
                </m:e>
              </m:acc>
            </m:e>
            <m:sub>
              <m:r>
                <m:t>1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</m:e>
          </m:d>
          <m:r>
            <m:rPr>
              <m:sty m:val="p"/>
            </m:rPr>
            <m:t>=</m:t>
          </m:r>
          <m:sSub>
            <m:e>
              <m:r>
                <m:t>S</m:t>
              </m:r>
            </m:e>
            <m:sub>
              <m:r>
                <m:t>2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  <m:r>
                <m:rPr>
                  <m:sty m:val="p"/>
                </m:rPr>
                <m:t>+</m:t>
              </m:r>
              <m:sSub>
                <m:e>
                  <m:r>
                    <m:t>f</m:t>
                  </m:r>
                </m:e>
                <m:sub>
                  <m:r>
                    <m:t>c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The corresponding relationship in the time domain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m</m:t>
                  </m:r>
                </m:e>
              </m:acc>
            </m:e>
            <m:sub>
              <m:r>
                <m:t>1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sSub>
            <m:e>
              <m:r>
                <m:t>s</m:t>
              </m:r>
            </m:e>
            <m:sub>
              <m:r>
                <m:t>2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c</m:t>
                  </m:r>
                </m:sub>
              </m:sSub>
              <m:r>
                <m:t>t</m:t>
              </m:r>
            </m:sup>
          </m:sSup>
        </m:oMath>
      </m:oMathPara>
    </w:p>
    <w:p>
      <w:pPr>
        <w:pStyle w:val="FirstParagraph"/>
      </w:pPr>
      <w:r>
        <w:t xml:space="preserve">In this case, the signal is complex-valued, and there is extra frequency content centered at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sSub>
          <m:e>
            <m:r>
              <m:t>f</m:t>
            </m:r>
          </m:e>
          <m:sub>
            <m:r>
              <m:t>c</m:t>
            </m:r>
          </m:sub>
        </m:sSub>
      </m:oMath>
      <w:r>
        <w:t xml:space="preserve">, so that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m</m:t>
                </m:r>
              </m:e>
            </m:acc>
          </m:e>
          <m:sub>
            <m:r>
              <m:t>1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≠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</w:t>
      </w:r>
    </w:p>
    <w:bookmarkEnd w:id="38"/>
    <w:bookmarkEnd w:id="39"/>
    <w:bookmarkStart w:id="44" w:name="idea-2-1"/>
    <w:p>
      <w:pPr>
        <w:pStyle w:val="Heading2"/>
      </w:pPr>
      <w:r>
        <w:t xml:space="preserve">Idea #2</w:t>
      </w:r>
    </w:p>
    <w:p>
      <w:pPr>
        <w:pStyle w:val="FirstParagraph"/>
      </w:pPr>
      <w:r>
        <w:t xml:space="preserve">To remove the extra frequency content centered at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sSub>
          <m:e>
            <m:r>
              <m:t>f</m:t>
            </m:r>
          </m:e>
          <m:sub>
            <m:r>
              <m:t>c</m:t>
            </m:r>
          </m:sub>
        </m:sSub>
      </m:oMath>
      <w:r>
        <w:t xml:space="preserve">, we can simply lowpass filter the result of the previous idea.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43" w:name="fig-fig3"/>
          <w:p>
            <w:pPr>
              <w:jc w:val="center"/>
            </w:pPr>
            <w:r>
              <w:drawing>
                <wp:inline>
                  <wp:extent cx="5943600" cy="3343275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images/Lec09-03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3: TBD</w:t>
            </w:r>
          </w:p>
          <w:bookmarkEnd w:id="43"/>
        </w:tc>
      </w:tr>
    </w:tbl>
    <w:bookmarkEnd w:id="44"/>
    <w:bookmarkStart w:id="53" w:name="idea-3"/>
    <w:p>
      <w:pPr>
        <w:pStyle w:val="Heading2"/>
      </w:pPr>
      <w:r>
        <w:t xml:space="preserve">Idea #3</w:t>
      </w:r>
    </w:p>
    <w:p>
      <w:pPr>
        <w:pStyle w:val="FirstParagraph"/>
      </w:pPr>
      <w:r>
        <w:t xml:space="preserve">Finally, we consider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m</m:t>
                </m:r>
              </m:e>
            </m:acc>
          </m:e>
          <m:sub>
            <m:r>
              <m:t>3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sty m:val="p"/>
          </m:rPr>
          <m:t>R</m:t>
        </m:r>
        <m:r>
          <m:rPr>
            <m:sty m:val="p"/>
          </m:rPr>
          <m:t>e</m:t>
        </m:r>
        <m:d>
          <m:dPr>
            <m:begChr m:val="["/>
            <m:endChr m:val="]"/>
            <m:sepChr m:val=""/>
            <m:grow/>
          </m:dPr>
          <m:e>
            <m:sSub>
              <m:e>
                <m:acc>
                  <m:accPr>
                    <m:chr m:val="̂"/>
                  </m:accPr>
                  <m:e>
                    <m:r>
                      <m:t>m</m:t>
                    </m:r>
                  </m:e>
                </m:acc>
              </m:e>
              <m:sub>
                <m:r>
                  <m:t>2</m:t>
                </m:r>
              </m:sub>
            </m:sSub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</m:e>
            </m:d>
          </m:e>
        </m:d>
      </m:oMath>
      <w:r>
        <w:t xml:space="preserve">, which yields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48" w:name="fig-fig4"/>
          <w:p>
            <w:pPr>
              <w:jc w:val="center"/>
            </w:pPr>
            <w:r>
              <w:drawing>
                <wp:inline>
                  <wp:extent cx="5943600" cy="3343275"/>
                  <wp:effectExtent b="0" l="0" r="0" t="0"/>
                  <wp:docPr descr="" title="" id="46" name="Picture"/>
                  <a:graphic>
                    <a:graphicData uri="http://schemas.openxmlformats.org/drawingml/2006/picture">
                      <pic:pic>
                        <pic:nvPicPr>
                          <pic:cNvPr descr="images/Lec09-04.png" id="4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4: TBD</w:t>
            </w:r>
          </w:p>
          <w:bookmarkEnd w:id="48"/>
        </w:tc>
      </w:tr>
    </w:tbl>
    <w:p>
      <w:pPr>
        <w:pStyle w:val="BodyText"/>
      </w:pPr>
      <w:r>
        <w:t xml:space="preserve">Another way to view the overall system is illustrated in the figure below.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52" w:name="fig-fig5"/>
          <w:p>
            <w:pPr>
              <w:jc w:val="center"/>
            </w:pPr>
            <w:r>
              <w:drawing>
                <wp:inline>
                  <wp:extent cx="5943600" cy="3343275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images/Lec09-05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5: TBD</w:t>
            </w:r>
          </w:p>
          <w:bookmarkEnd w:id="52"/>
        </w:tc>
      </w:tr>
    </w:tbl>
    <w:p>
      <w:pPr>
        <w:pStyle w:val="BodyText"/>
      </w:pPr>
      <w:r>
        <w:t xml:space="preserve">The combination of modulation and the first stage of demodulation is equivalent to modulation of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by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rPr>
                  <m:sty m:val="p"/>
                </m:rPr>
                <m:t>cos</m:t>
              </m:r>
            </m:e>
            <m:sup>
              <m:r>
                <m:t>2</m:t>
              </m:r>
            </m:sup>
          </m:sSup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c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d>
            <m:dPr>
              <m:begChr m:val="["/>
              <m:endChr m:val="]"/>
              <m:sepChr m:val="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cos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π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</m:e>
                  </m:d>
                  <m:r>
                    <m:t>t</m:t>
                  </m:r>
                </m:e>
              </m:d>
            </m:e>
          </m:d>
        </m:oMath>
      </m:oMathPara>
    </w:p>
    <w:p>
      <w:pPr>
        <w:pStyle w:val="FirstParagraph"/>
      </w:pPr>
      <w:r>
        <w:t xml:space="preserve">via trigonemtric identities.</w:t>
      </w:r>
    </w:p>
    <w:p>
      <w:pPr>
        <w:pStyle w:val="BodyText"/>
      </w:pPr>
      <w:r>
        <w:t xml:space="preserve">This leads to three images of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</m:oMath>
      <w:r>
        <w:t xml:space="preserve"> </w:t>
      </w:r>
      <w:r>
        <w:t xml:space="preserve">centered at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r>
          <m:rPr>
            <m:sty m:val="p"/>
          </m:rPr>
          <m:t>±</m:t>
        </m:r>
        <m:sSub>
          <m:e>
            <m:r>
              <m:t>f</m:t>
            </m:r>
          </m:e>
          <m:sub>
            <m:r>
              <m:t>c</m:t>
            </m:r>
          </m:sub>
        </m:sSub>
      </m:oMath>
      <w:r>
        <w:t xml:space="preserve">, the latter two of which are filtered out by the low-pass filter.</w:t>
      </w:r>
    </w:p>
    <w:bookmarkEnd w:id="53"/>
    <w:bookmarkStart w:id="60" w:name="discrete-time-implementation"/>
    <w:p>
      <w:pPr>
        <w:pStyle w:val="Heading2"/>
      </w:pPr>
      <w:r>
        <w:t xml:space="preserve">Discrete-Time Implementation</w:t>
      </w:r>
    </w:p>
    <w:p>
      <w:pPr>
        <w:pStyle w:val="FirstParagraph"/>
      </w:pPr>
      <w:r>
        <w:t xml:space="preserve">To emulate the modulation in discrete time, either for digital circuit implementations or software implementations on a computer, we consider a sampled version of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with sampling period</w:t>
      </w:r>
      <w:r>
        <w:t xml:space="preserve"> </w:t>
      </w:r>
      <m:oMath>
        <m:sSub>
          <m:e>
            <m:r>
              <m:t>T</m:t>
            </m:r>
          </m:e>
          <m:sub>
            <m:r>
              <m:t>s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To satisfy the sampling theorem for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we require that the sampling frequency</w:t>
      </w:r>
      <w:r>
        <w:t xml:space="preserve"> </w:t>
      </w:r>
      <m:oMath>
        <m:sSub>
          <m:e>
            <m:r>
              <m:t>f</m:t>
            </m:r>
          </m:e>
          <m:sub>
            <m:r>
              <m:t>s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sSub>
          <m:e>
            <m:r>
              <m:t>T</m:t>
            </m:r>
          </m:e>
          <m:sub>
            <m:r>
              <m:t>s</m:t>
            </m:r>
          </m:sub>
        </m:sSub>
      </m:oMath>
      <w:r>
        <w:t xml:space="preserve"> </w:t>
      </w:r>
      <w:r>
        <w:t xml:space="preserve">satisfy</w:t>
      </w:r>
      <w:r>
        <w:t xml:space="preserve"> </w:t>
      </w:r>
      <m:oMath>
        <m:sSub>
          <m:e>
            <m:r>
              <m:t>f</m:t>
            </m:r>
          </m:e>
          <m:sub>
            <m:r>
              <m:t>s</m:t>
            </m:r>
          </m:sub>
        </m:sSub>
        <m:r>
          <m:rPr>
            <m:sty m:val="p"/>
          </m:rPr>
          <m:t>&gt;</m:t>
        </m:r>
        <m:r>
          <m:t>2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f</m:t>
                </m:r>
              </m:e>
              <m:sub>
                <m:r>
                  <m:t>c</m:t>
                </m:r>
              </m:sub>
            </m:sSub>
            <m:r>
              <m:rPr>
                <m:sty m:val="p"/>
              </m:rPr>
              <m:t>+</m:t>
            </m:r>
            <m:r>
              <m:t>B</m:t>
            </m:r>
          </m:e>
        </m:d>
      </m:oMath>
      <w:r>
        <w:t xml:space="preserve">, which implies that we also satisfy the sampling theorem for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If we define the discrete-time sample sequences as</w:t>
      </w:r>
      <w:r>
        <w:t xml:space="preserve"> </w:t>
      </w:r>
      <m:oMath>
        <m:r>
          <m:t>s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sSub>
              <m:e>
                <m:r>
                  <m:t>T</m:t>
                </m:r>
              </m:e>
              <m:sub>
                <m:r>
                  <m:t>s</m:t>
                </m:r>
              </m:sub>
            </m:sSub>
          </m:e>
        </m:d>
      </m:oMath>
      <w:r>
        <w:t xml:space="preserve">,</w:t>
      </w:r>
      <w:r>
        <w:t xml:space="preserve"> </w:t>
      </w:r>
      <m:oMath>
        <m:r>
          <m:t>m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sSub>
              <m:e>
                <m:r>
                  <m:t>T</m:t>
                </m:r>
              </m:e>
              <m:sub>
                <m:r>
                  <m:t>s</m:t>
                </m:r>
              </m:sub>
            </m:sSub>
          </m:e>
        </m:d>
      </m:oMath>
      <w:r>
        <w:t xml:space="preserve">, and</w:t>
      </w:r>
      <w:r>
        <w:t xml:space="preserve"> </w:t>
      </w:r>
      <m:oMath>
        <m:r>
          <m:t>c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sSub>
              <m:e>
                <m:r>
                  <m:t>T</m:t>
                </m:r>
              </m:e>
              <m:sub>
                <m:r>
                  <m:t>s</m:t>
                </m:r>
              </m:sub>
            </m:sSub>
          </m:e>
        </m:d>
      </m:oMath>
      <w:r>
        <w:t xml:space="preserve">, respectively, for</w:t>
      </w:r>
      <w:r>
        <w:t xml:space="preserve"> </w:t>
      </w:r>
      <m:oMath>
        <m:r>
          <m:t>n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, the modulation becomes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r>
            <m:t>m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⋅</m:t>
          </m:r>
          <m:r>
            <m:t>c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r>
            <m:t>m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cos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f</m:t>
                      </m:r>
                    </m:e>
                    <m:sub>
                      <m:r>
                        <m:t>c</m:t>
                      </m:r>
                    </m:sub>
                  </m:sSub>
                  <m:sSub>
                    <m:e>
                      <m:r>
                        <m:t>T</m:t>
                      </m:r>
                    </m:e>
                    <m:sub>
                      <m:r>
                        <m:t>s</m:t>
                      </m:r>
                    </m:sub>
                  </m:sSub>
                </m:e>
              </m:d>
              <m:r>
                <m:t>n</m:t>
              </m:r>
            </m:e>
          </m:d>
          <m:r>
            <m:rPr>
              <m:sty m:val="p"/>
            </m:rPr>
            <m:t>=</m:t>
          </m:r>
          <m:r>
            <m:t>m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cos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f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/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s</m:t>
                      </m:r>
                    </m:sub>
                  </m:sSub>
                </m:e>
              </m:d>
              <m:r>
                <m:t>n</m:t>
              </m:r>
            </m:e>
          </m:d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u</m:t>
            </m:r>
          </m:e>
          <m:sub>
            <m:r>
              <m:t>c</m:t>
            </m:r>
          </m:sub>
        </m:sSub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t>c</m:t>
            </m:r>
          </m:sub>
        </m:sSub>
        <m:r>
          <m:rPr>
            <m:sty m:val="p"/>
          </m:rPr>
          <m:t>/</m:t>
        </m:r>
        <m:sSub>
          <m:e>
            <m:r>
              <m:t>f</m:t>
            </m:r>
          </m:e>
          <m:sub>
            <m:r>
              <m:t>s</m:t>
            </m:r>
          </m:sub>
        </m:sSub>
      </m:oMath>
      <w:r>
        <w:t xml:space="preserve"> </w:t>
      </w:r>
      <w:r>
        <w:t xml:space="preserve">is the normalized frequency of the DT carrier signal.</w:t>
      </w:r>
    </w:p>
    <w:p>
      <w:pPr>
        <w:pStyle w:val="BodyText"/>
      </w:pPr>
      <w:r>
        <w:t xml:space="preserve">Let’s continue with some simple example code to generate a discrete-time, carrier-modulated waveform.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matplotlib.pylab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 </w:t>
      </w:r>
    </w:p>
    <w:p>
      <w:pPr>
        <w:pStyle w:val="SourceCode"/>
      </w:pPr>
      <w:r>
        <w:rPr>
          <w:rStyle w:val="NormalTok"/>
        </w:rPr>
        <w:t xml:space="preserve">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20000.</w:t>
      </w:r>
      <w:r>
        <w:br/>
      </w:r>
      <w:r>
        <w:rPr>
          <w:rStyle w:val="NormalTok"/>
        </w:rPr>
        <w:t xml:space="preserve">fc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800000.</w:t>
      </w:r>
      <w:r>
        <w:br/>
      </w:r>
      <w:r>
        <w:rPr>
          <w:rStyle w:val="NormalTok"/>
        </w:rPr>
        <w:t xml:space="preserve">fs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*</w:t>
      </w:r>
      <w:r>
        <w:rPr>
          <w:rStyle w:val="FloatTok"/>
        </w:rPr>
        <w:t xml:space="preserve">2.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(fc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B)</w:t>
      </w:r>
      <w:r>
        <w:br/>
      </w:r>
      <w:r>
        <w:rPr>
          <w:rStyle w:val="NormalTok"/>
        </w:rPr>
        <w:t xml:space="preserve">Ts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fs</w:t>
      </w:r>
      <w:r>
        <w:br/>
      </w:r>
      <w:r>
        <w:rPr>
          <w:rStyle w:val="NormalTok"/>
        </w:rPr>
        <w:t xml:space="preserve">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np.arange(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fs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B,dtype</w:t>
      </w:r>
      <w:r>
        <w:rPr>
          <w:rStyle w:val="OperatorTok"/>
        </w:rPr>
        <w:t xml:space="preserve">=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np.cos(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np.pi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(B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fs)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n)</w:t>
      </w:r>
      <w:r>
        <w:br/>
      </w:r>
      <w:r>
        <w:rPr>
          <w:rStyle w:val="NormalTok"/>
        </w:rPr>
        <w:t xml:space="preserve">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np.cos(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np.pi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(fc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fs)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n)</w:t>
      </w:r>
      <w:r>
        <w:br/>
      </w:r>
      <w:r>
        <w:rPr>
          <w:rStyle w:val="NormalTok"/>
        </w:rPr>
        <w:t xml:space="preserve">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c</w:t>
      </w:r>
    </w:p>
    <w:p>
      <w:pPr>
        <w:pStyle w:val="SourceCode"/>
      </w:pPr>
      <w:r>
        <w:rPr>
          <w:rStyle w:val="NormalTok"/>
        </w:rPr>
        <w:t xml:space="preserve">plt.subplot(</w:t>
      </w:r>
      <w:r>
        <w:rPr>
          <w:rStyle w:val="DecValTok"/>
        </w:rPr>
        <w:t xml:space="preserve">311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plt.plot(n,m,</w:t>
      </w:r>
      <w:r>
        <w:rPr>
          <w:rStyle w:val="StringTok"/>
        </w:rPr>
        <w:t xml:space="preserve">'-'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"$m[n]$"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plt.subplot(</w:t>
      </w:r>
      <w:r>
        <w:rPr>
          <w:rStyle w:val="DecValTok"/>
        </w:rPr>
        <w:t xml:space="preserve">312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plt.plot(n,c,</w:t>
      </w:r>
      <w:r>
        <w:rPr>
          <w:rStyle w:val="StringTok"/>
        </w:rPr>
        <w:t xml:space="preserve">'-'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"$c[n]$"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plt.subplot(</w:t>
      </w:r>
      <w:r>
        <w:rPr>
          <w:rStyle w:val="DecValTok"/>
        </w:rPr>
        <w:t xml:space="preserve">313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plt.plot(n,s,</w:t>
      </w:r>
      <w:r>
        <w:rPr>
          <w:rStyle w:val="StringTok"/>
        </w:rPr>
        <w:t xml:space="preserve">'-'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"$s[n]$"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"Sample Index"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plt.show()</w:t>
      </w:r>
    </w:p>
    <w:p>
      <w:pPr>
        <w:pStyle w:val="FirstParagraph"/>
      </w:pPr>
      <w:r>
        <w:drawing>
          <wp:inline>
            <wp:extent cx="4200525" cy="3419475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Lec09-AmplitudeModulation_files/figure-docx/cell-4-output-1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K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8192</w:t>
      </w:r>
      <w:r>
        <w:br/>
      </w:r>
      <w:r>
        <w:rPr>
          <w:rStyle w:val="NormalTok"/>
        </w:rPr>
        <w:t xml:space="preserve">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np.square(np.</w:t>
      </w:r>
      <w:r>
        <w:rPr>
          <w:rStyle w:val="BuiltInTok"/>
        </w:rPr>
        <w:t xml:space="preserve">abs</w:t>
      </w:r>
      <w:r>
        <w:rPr>
          <w:rStyle w:val="NormalTok"/>
        </w:rPr>
        <w:t xml:space="preserve">(np.fft.fft(s,K)))</w:t>
      </w:r>
      <w:r>
        <w:br/>
      </w:r>
      <w:r>
        <w:rPr>
          <w:rStyle w:val="NormalTok"/>
        </w:rPr>
        <w:t xml:space="preserve">plt.plot(np.arange(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,fs,fs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K),S,</w:t>
      </w:r>
      <w:r>
        <w:rPr>
          <w:rStyle w:val="StringTok"/>
        </w:rPr>
        <w:t xml:space="preserve">'-'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"$|S(f)|^2$"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"Frequency (Hz)"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plt.axis([fc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B,fc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B,</w:t>
      </w:r>
      <w:r>
        <w:rPr>
          <w:rStyle w:val="FloatTok"/>
        </w:rPr>
        <w:t xml:space="preserve">0.</w:t>
      </w:r>
      <w:r>
        <w:rPr>
          <w:rStyle w:val="NormalTok"/>
        </w:rPr>
        <w:t xml:space="preserve">,</w:t>
      </w:r>
      <w:r>
        <w:rPr>
          <w:rStyle w:val="FloatTok"/>
        </w:rPr>
        <w:t xml:space="preserve">1.1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(S)])</w:t>
      </w:r>
      <w:r>
        <w:br/>
      </w:r>
      <w:r>
        <w:rPr>
          <w:rStyle w:val="NormalTok"/>
        </w:rPr>
        <w:t xml:space="preserve">plt.show()</w:t>
      </w:r>
    </w:p>
    <w:p>
      <w:pPr>
        <w:pStyle w:val="FirstParagraph"/>
      </w:pPr>
      <w:r>
        <w:drawing>
          <wp:inline>
            <wp:extent cx="4695825" cy="3400425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Lec09-AmplitudeModulation_files/figure-docx/cell-5-output-1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note that this implementation model only considers the highest frequency signal of the modulator. To implement the demodulator as well, we would require</w:t>
      </w:r>
      <w:r>
        <w:t xml:space="preserve"> </w:t>
      </w:r>
      <m:oMath>
        <m:sSub>
          <m:e>
            <m:r>
              <m:t>f</m:t>
            </m:r>
          </m:e>
          <m:sub>
            <m:r>
              <m:t>s</m:t>
            </m:r>
          </m:sub>
        </m:sSub>
        <m:r>
          <m:rPr>
            <m:sty m:val="p"/>
          </m:rPr>
          <m:t>&gt;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sSub>
              <m:e>
                <m:r>
                  <m:t>f</m:t>
                </m:r>
              </m:e>
              <m:sub>
                <m:r>
                  <m:t>c</m:t>
                </m:r>
              </m:sub>
            </m:sSub>
            <m:r>
              <m:rPr>
                <m:sty m:val="p"/>
              </m:rPr>
              <m:t>+</m:t>
            </m:r>
            <m:r>
              <m:t>B</m:t>
            </m:r>
          </m:e>
        </m:d>
      </m:oMath>
      <w:r>
        <w:t xml:space="preserve">.</w:t>
      </w:r>
    </w:p>
    <w:bookmarkEnd w:id="60"/>
    <w:sectPr w:rsidR="00C5731A" w:rsidRPr="00C5731A" w:rsidSect="00336A44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9F1D" w14:textId="77777777" w:rsidR="000643F7" w:rsidRDefault="00064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2207" w14:textId="5B434CA9" w:rsidR="00C5731A" w:rsidRDefault="00C5731A" w:rsidP="000643F7">
    <w:pPr>
      <w:pStyle w:val="Footer"/>
      <w:jc w:val="right"/>
      <w:rPr>
        <w:rFonts w:cstheme="minorHAnsi"/>
      </w:rPr>
    </w:pPr>
    <w:r w:rsidRPr="00336A44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78B0B212" wp14:editId="5B31512F">
          <wp:simplePos x="0" y="0"/>
          <wp:positionH relativeFrom="column">
            <wp:posOffset>127635</wp:posOffset>
          </wp:positionH>
          <wp:positionV relativeFrom="paragraph">
            <wp:posOffset>-84384</wp:posOffset>
          </wp:positionV>
          <wp:extent cx="2325370" cy="448310"/>
          <wp:effectExtent l="0" t="0" r="0" b="0"/>
          <wp:wrapNone/>
          <wp:docPr id="14549805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80578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37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AF5ED0" w14:textId="0EEDFE59" w:rsidR="000643F7" w:rsidRDefault="00336A44" w:rsidP="000643F7">
    <w:pPr>
      <w:pStyle w:val="Footer"/>
      <w:jc w:val="right"/>
      <w:rPr>
        <w:rFonts w:cstheme="minorHAnsi"/>
      </w:rPr>
    </w:pPr>
    <w:r w:rsidRPr="00336A44">
      <w:rPr>
        <w:rFonts w:cstheme="minorHAnsi"/>
      </w:rPr>
      <w:t xml:space="preserve">Page </w:t>
    </w:r>
    <w:r w:rsidRPr="00336A44">
      <w:rPr>
        <w:rFonts w:cstheme="minorHAnsi"/>
      </w:rPr>
      <w:fldChar w:fldCharType="begin"/>
    </w:r>
    <w:r w:rsidRPr="00336A44">
      <w:rPr>
        <w:rFonts w:cstheme="minorHAnsi"/>
      </w:rPr>
      <w:instrText xml:space="preserve"> PAGE </w:instrText>
    </w:r>
    <w:r w:rsidRPr="00336A44">
      <w:rPr>
        <w:rFonts w:cstheme="minorHAnsi"/>
      </w:rPr>
      <w:fldChar w:fldCharType="separate"/>
    </w:r>
    <w:r w:rsidRPr="00336A44">
      <w:rPr>
        <w:rFonts w:cstheme="minorHAnsi"/>
        <w:noProof/>
      </w:rPr>
      <w:t>1</w:t>
    </w:r>
    <w:r w:rsidRPr="00336A44">
      <w:rPr>
        <w:rFonts w:cstheme="minorHAnsi"/>
      </w:rPr>
      <w:fldChar w:fldCharType="end"/>
    </w:r>
    <w:r w:rsidRPr="00336A44">
      <w:rPr>
        <w:rFonts w:cstheme="minorHAnsi"/>
      </w:rPr>
      <w:t xml:space="preserve"> of </w:t>
    </w:r>
    <w:r w:rsidRPr="00336A44">
      <w:rPr>
        <w:rFonts w:cstheme="minorHAnsi"/>
      </w:rPr>
      <w:fldChar w:fldCharType="begin"/>
    </w:r>
    <w:r w:rsidRPr="00336A44">
      <w:rPr>
        <w:rFonts w:cstheme="minorHAnsi"/>
      </w:rPr>
      <w:instrText xml:space="preserve"> NUMPAGES </w:instrText>
    </w:r>
    <w:r w:rsidRPr="00336A44">
      <w:rPr>
        <w:rFonts w:cstheme="minorHAnsi"/>
      </w:rPr>
      <w:fldChar w:fldCharType="separate"/>
    </w:r>
    <w:r w:rsidRPr="00336A44">
      <w:rPr>
        <w:rFonts w:cstheme="minorHAnsi"/>
        <w:noProof/>
      </w:rPr>
      <w:t>1</w:t>
    </w:r>
    <w:r w:rsidRPr="00336A44">
      <w:rPr>
        <w:rFonts w:cstheme="minorHAnsi"/>
      </w:rPr>
      <w:fldChar w:fldCharType="end"/>
    </w:r>
  </w:p>
  <w:p w14:paraId="78919F01" w14:textId="77777777" w:rsidR="00817FC3" w:rsidRDefault="00817FC3" w:rsidP="000643F7">
    <w:pPr>
      <w:pStyle w:val="Footer"/>
      <w:jc w:val="right"/>
      <w:rPr>
        <w:rFonts w:cstheme="minorHAnsi"/>
      </w:rPr>
    </w:pPr>
  </w:p>
  <w:p w14:paraId="5F9B140C" w14:textId="41EF7FD3" w:rsidR="00336A44" w:rsidRPr="00817FC3" w:rsidRDefault="000643F7" w:rsidP="000643F7">
    <w:pPr>
      <w:pStyle w:val="Footer"/>
      <w:jc w:val="center"/>
      <w:rPr>
        <w:rFonts w:cstheme="minorHAnsi"/>
        <w:sz w:val="18"/>
        <w:szCs w:val="18"/>
      </w:rPr>
    </w:pPr>
    <w:r w:rsidRPr="00817FC3">
      <w:rPr>
        <w:rFonts w:cstheme="minorHAnsi"/>
        <w:sz w:val="18"/>
        <w:szCs w:val="18"/>
      </w:rPr>
      <w:t xml:space="preserve">Copyright Nick Laneman, Jon Chisum, Bert Hochwald, 2020-2026. All Rights Reserved.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13B7" w14:textId="77777777" w:rsidR="000643F7" w:rsidRDefault="000643F7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3565" w14:textId="77777777" w:rsidR="000643F7" w:rsidRDefault="00064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D8F" w14:textId="77777777" w:rsidR="000643F7" w:rsidRDefault="00064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79D6" w14:textId="77777777" w:rsidR="000643F7" w:rsidRDefault="000643F7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VerticalSpacing w:val="36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5" w:val="bestFit"/>
  <w:proofState w:grammar="clean"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336A44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2F5496"/>
      <w:sz w:val="40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336A44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styleId="Heading3" w:type="paragraph">
    <w:name w:val="heading 3"/>
    <w:basedOn w:val="Normal"/>
    <w:next w:val="Normal"/>
    <w:link w:val="Heading3Char"/>
    <w:uiPriority w:val="9"/>
    <w:semiHidden/>
    <w:unhideWhenUsed/>
    <w:qFormat/>
    <w:rsid w:val="00336A44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2F5496"/>
      <w:sz w:val="28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336A44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2F5496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336A44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2F5496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336A44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336A44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336A44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336A44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336A44"/>
    <w:rPr>
      <w:rFonts w:asciiTheme="majorHAnsi" w:cstheme="majorBidi" w:eastAsiaTheme="majorEastAsia" w:hAnsiTheme="majorHAnsi"/>
      <w:color w:themeColor="accent1" w:themeShade="BF" w:val="2F5496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336A44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336A44"/>
    <w:rPr>
      <w:rFonts w:cstheme="majorBidi" w:eastAsiaTheme="majorEastAsia"/>
      <w:color w:themeColor="accent1" w:themeShade="BF" w:val="2F5496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336A44"/>
    <w:rPr>
      <w:rFonts w:cstheme="majorBidi" w:eastAsiaTheme="majorEastAsia"/>
      <w:i/>
      <w:iCs/>
      <w:color w:themeColor="accent1" w:themeShade="BF" w:val="2F5496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336A44"/>
    <w:rPr>
      <w:rFonts w:cstheme="majorBidi" w:eastAsiaTheme="majorEastAsia"/>
      <w:color w:themeColor="accent1" w:themeShade="BF" w:val="2F5496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336A44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336A44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336A44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336A44"/>
    <w:rPr>
      <w:rFonts w:cstheme="majorBidi" w:eastAsiaTheme="majorEastAsia"/>
      <w:color w:themeColor="text1" w:themeTint="D8" w:val="272727"/>
    </w:rPr>
  </w:style>
  <w:style w:styleId="Title" w:type="paragraph">
    <w:name w:val="Title"/>
    <w:basedOn w:val="Normal"/>
    <w:next w:val="Normal"/>
    <w:link w:val="TitleChar"/>
    <w:uiPriority w:val="10"/>
    <w:qFormat/>
    <w:rsid w:val="00336A44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336A4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336A44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336A44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336A44"/>
    <w:pPr>
      <w:spacing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336A44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336A44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336A44"/>
    <w:rPr>
      <w:i/>
      <w:iCs/>
      <w:color w:themeColor="accent1" w:themeShade="BF" w:val="2F5496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336A44"/>
    <w:pPr>
      <w:pBdr>
        <w:top w:color="2F5496" w:space="10" w:sz="4" w:themeColor="accent1" w:themeShade="BF" w:val="single"/>
        <w:bottom w:color="2F5496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2F5496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336A44"/>
    <w:rPr>
      <w:i/>
      <w:iCs/>
      <w:color w:themeColor="accent1" w:themeShade="BF" w:val="2F5496"/>
    </w:rPr>
  </w:style>
  <w:style w:styleId="IntenseReference" w:type="character">
    <w:name w:val="Intense Reference"/>
    <w:basedOn w:val="DefaultParagraphFont"/>
    <w:uiPriority w:val="32"/>
    <w:qFormat/>
    <w:rsid w:val="00336A44"/>
    <w:rPr>
      <w:b/>
      <w:bCs/>
      <w:smallCaps/>
      <w:color w:themeColor="accent1" w:themeShade="BF" w:val="2F5496"/>
      <w:spacing w:val="5"/>
    </w:rPr>
  </w:style>
  <w:style w:styleId="Header" w:type="paragraph">
    <w:name w:val="header"/>
    <w:basedOn w:val="Normal"/>
    <w:link w:val="HeaderChar"/>
    <w:uiPriority w:val="99"/>
    <w:unhideWhenUsed/>
    <w:rsid w:val="00336A44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36A44"/>
  </w:style>
  <w:style w:styleId="Footer" w:type="paragraph">
    <w:name w:val="footer"/>
    <w:basedOn w:val="Normal"/>
    <w:link w:val="FooterChar"/>
    <w:uiPriority w:val="99"/>
    <w:unhideWhenUsed/>
    <w:rsid w:val="00336A44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36A44"/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32" Target="media/rId32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9" Target="media/rId49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09 - Amplitude Modulation</dc:title>
  <dc:creator/>
  <cp:keywords/>
  <dcterms:created xsi:type="dcterms:W3CDTF">2026-03-16T23:58:33Z</dcterms:created>
  <dcterms:modified xsi:type="dcterms:W3CDTF">2026-03-16T23:58:33Z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opyright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jupyter">
    <vt:lpwstr>python3</vt:lpwstr>
  </property>
  <property fmtid="{D5CDD505-2E9C-101B-9397-08002B2CF9AE}" pid="8" name="labels">
    <vt:lpwstr/>
  </property>
  <property fmtid="{D5CDD505-2E9C-101B-9397-08002B2CF9AE}" pid="9" name="subtitle">
    <vt:lpwstr>EE-30023/31023, Department of Electrical Engineering, University of Notre Dame</vt:lpwstr>
  </property>
  <property fmtid="{D5CDD505-2E9C-101B-9397-08002B2CF9AE}" pid="10" name="toc-title">
    <vt:lpwstr>Table of contents</vt:lpwstr>
  </property>
</Properties>
</file>