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rId66.png" ContentType="image/png"/>
  <Override PartName="/word/media/rId69.png" ContentType="image/png"/>
  <Override PartName="/word/media/rId55.png" ContentType="image/png"/>
  <Override PartName="/word/media/rId58.png" ContentType="image/png"/>
  <Override PartName="/word/media/rId62.png" ContentType="image/png"/>
  <Override PartName="/word/media/rId34.png" ContentType="image/png"/>
  <Override PartName="/word/media/rId39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</w:t>
      </w:r>
      <w:r>
        <w:t xml:space="preserve"> </w:t>
      </w:r>
      <w:r>
        <w:t xml:space="preserve">06</w:t>
      </w:r>
      <w:r>
        <w:t xml:space="preserve"> </w:t>
      </w:r>
      <w:r>
        <w:t xml:space="preserve">-</w:t>
      </w:r>
      <w:r>
        <w:t xml:space="preserve"> </w:t>
      </w:r>
      <w:r>
        <w:t xml:space="preserve">Digital</w:t>
      </w:r>
      <w:r>
        <w:t xml:space="preserve"> </w:t>
      </w:r>
      <w:r>
        <w:t xml:space="preserve">Packets</w:t>
      </w:r>
      <w:r>
        <w:t xml:space="preserve"> </w:t>
      </w:r>
      <w:r>
        <w:t xml:space="preserve">&amp;</w:t>
      </w:r>
      <w:r>
        <w:t xml:space="preserve"> </w:t>
      </w:r>
      <w:r>
        <w:t xml:space="preserve">Signaling</w:t>
      </w:r>
    </w:p>
    <w:p>
      <w:pPr>
        <w:pStyle w:val="Subtitle"/>
      </w:pPr>
      <w:r>
        <w:t xml:space="preserve">EE-30023/31023,</w:t>
      </w:r>
      <w:r>
        <w:t xml:space="preserve"> </w:t>
      </w:r>
      <w:r>
        <w:t xml:space="preserve">Department</w:t>
      </w:r>
      <w:r>
        <w:t xml:space="preserve"> </w:t>
      </w:r>
      <w:r>
        <w:t xml:space="preserve">of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Engineering,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Notre</w:t>
      </w:r>
      <w:r>
        <w:t xml:space="preserve"> </w:t>
      </w:r>
      <w:r>
        <w:t xml:space="preserve">Dame</w: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In this lecture, we summarize digital streams, packets formats, and signaling as they are widely used for both wireline and wireless transmissions.</w:t>
      </w:r>
    </w:p>
    <w:bookmarkEnd w:id="20"/>
    <w:bookmarkStart w:id="21" w:name="motivation-in-course-context"/>
    <w:p>
      <w:pPr>
        <w:pStyle w:val="Heading2"/>
      </w:pPr>
      <w:r>
        <w:t xml:space="preserve">Motivation in Course Context</w:t>
      </w:r>
    </w:p>
    <w:p>
      <w:pPr>
        <w:pStyle w:val="FirstParagraph"/>
      </w:pPr>
      <w:r>
        <w:t xml:space="preserve">Information sources are today represented in a variety of digital formats, i.e., representations consisting of sets of</w:t>
      </w:r>
      <w:r>
        <w:t xml:space="preserve"> </w:t>
      </w:r>
      <m:oMath>
        <m:r>
          <m:t>0</m:t>
        </m:r>
      </m:oMath>
      <w:r>
        <w:t xml:space="preserve">’s and</w:t>
      </w:r>
      <w:r>
        <w:t xml:space="preserve"> </w:t>
      </w:r>
      <m:oMath>
        <m:r>
          <m:t>1</m:t>
        </m:r>
      </m:oMath>
      <w:r>
        <w:t xml:space="preserve">’s.</w:t>
      </w:r>
    </w:p>
    <w:p>
      <w:pPr>
        <w:pStyle w:val="BodyText"/>
      </w:pPr>
      <w:r>
        <w:t xml:space="preserve">In the next three lectures, we summarize concepts of digital data packets and network stacks that modern digital radios have to support.</w:t>
      </w:r>
    </w:p>
    <w:p>
      <w:pPr>
        <w:pStyle w:val="BodyText"/>
      </w:pPr>
      <w:r>
        <w:t xml:space="preserve">Our outline will be as follows:</w:t>
      </w:r>
    </w:p>
    <w:p>
      <w:pPr>
        <w:numPr>
          <w:ilvl w:val="0"/>
          <w:numId w:val="1001"/>
        </w:numPr>
      </w:pPr>
      <w:r>
        <w:t xml:space="preserve">Digital Packets and Signaling (1/24)</w:t>
      </w:r>
    </w:p>
    <w:p>
      <w:pPr>
        <w:numPr>
          <w:ilvl w:val="0"/>
          <w:numId w:val="1001"/>
        </w:numPr>
      </w:pPr>
      <w:r>
        <w:t xml:space="preserve">Layered Protocols for Networking (1/26)</w:t>
      </w:r>
    </w:p>
    <w:p>
      <w:pPr>
        <w:numPr>
          <w:ilvl w:val="0"/>
          <w:numId w:val="1001"/>
        </w:numPr>
      </w:pPr>
      <w:r>
        <w:t xml:space="preserve">Link Performance Metrics (1/28)</w:t>
      </w:r>
    </w:p>
    <w:bookmarkEnd w:id="21"/>
    <w:bookmarkStart w:id="29" w:name="information-in-digital-formats"/>
    <w:p>
      <w:pPr>
        <w:pStyle w:val="Heading2"/>
      </w:pPr>
      <w:r>
        <w:t xml:space="preserve">Information in Digital Formats</w:t>
      </w:r>
    </w:p>
    <w:p>
      <w:pPr>
        <w:pStyle w:val="FirstParagraph"/>
      </w:pPr>
      <w:r>
        <w:rPr>
          <w:bCs/>
          <w:b/>
        </w:rPr>
        <w:t xml:space="preserve">Discussion:</w:t>
      </w:r>
      <w:r>
        <w:t xml:space="preserve"> </w:t>
      </w:r>
      <w:r>
        <w:t xml:space="preserve">What information sources are now digital?</w:t>
      </w:r>
    </w:p>
    <w:p>
      <w:pPr>
        <w:numPr>
          <w:ilvl w:val="0"/>
          <w:numId w:val="1002"/>
        </w:numPr>
      </w:pPr>
      <w:r>
        <w:t xml:space="preserve">Text (ASCII,</w:t>
      </w:r>
      <w:r>
        <w:t xml:space="preserve"> </w:t>
      </w:r>
      <w:hyperlink r:id="rId22">
        <w:r>
          <w:rPr>
            <w:rStyle w:val="Hyperlink"/>
          </w:rPr>
          <w:t xml:space="preserve">https://en.wikipedia.org/wiki/ASCII;</w:t>
        </w:r>
      </w:hyperlink>
      <w:r>
        <w:t xml:space="preserve"> </w:t>
      </w:r>
      <w:r>
        <w:t xml:space="preserve">Unicode,</w:t>
      </w:r>
      <w:r>
        <w:t xml:space="preserve"> </w:t>
      </w:r>
      <w:hyperlink r:id="rId23">
        <w:r>
          <w:rPr>
            <w:rStyle w:val="Hyperlink"/>
          </w:rPr>
          <w:t xml:space="preserve">https://en.wikipedia.org/wiki/Unicode</w:t>
        </w:r>
      </w:hyperlink>
      <w:r>
        <w:t xml:space="preserve">)</w:t>
      </w:r>
    </w:p>
    <w:p>
      <w:pPr>
        <w:numPr>
          <w:ilvl w:val="0"/>
          <w:numId w:val="1002"/>
        </w:numPr>
      </w:pPr>
      <w:r>
        <w:t xml:space="preserve">Speech (AMR,</w:t>
      </w:r>
      <w:r>
        <w:t xml:space="preserve"> </w:t>
      </w:r>
      <w:hyperlink r:id="rId24">
        <w:r>
          <w:rPr>
            <w:rStyle w:val="Hyperlink"/>
          </w:rPr>
          <w:t xml:space="preserve">https://en.wikipedia.org/wiki/Adaptive_Multi-Rate_audio_codec</w:t>
        </w:r>
      </w:hyperlink>
      <w:r>
        <w:t xml:space="preserve">)</w:t>
      </w:r>
    </w:p>
    <w:p>
      <w:pPr>
        <w:numPr>
          <w:ilvl w:val="0"/>
          <w:numId w:val="1002"/>
        </w:numPr>
      </w:pPr>
      <w:r>
        <w:t xml:space="preserve">Audio (MP3,</w:t>
      </w:r>
      <w:r>
        <w:t xml:space="preserve"> </w:t>
      </w:r>
      <w:hyperlink r:id="rId25">
        <w:r>
          <w:rPr>
            <w:rStyle w:val="Hyperlink"/>
          </w:rPr>
          <w:t xml:space="preserve">https://en.wikipedia.org/wiki/MP3</w:t>
        </w:r>
      </w:hyperlink>
      <w:r>
        <w:t xml:space="preserve">)</w:t>
      </w:r>
    </w:p>
    <w:p>
      <w:pPr>
        <w:numPr>
          <w:ilvl w:val="0"/>
          <w:numId w:val="1002"/>
        </w:numPr>
      </w:pPr>
      <w:r>
        <w:t xml:space="preserve">Images (JPEG,</w:t>
      </w:r>
      <w:r>
        <w:t xml:space="preserve"> </w:t>
      </w:r>
      <w:hyperlink r:id="rId26">
        <w:r>
          <w:rPr>
            <w:rStyle w:val="Hyperlink"/>
          </w:rPr>
          <w:t xml:space="preserve">https://en.wikipedia.org/wiki/JPEG</w:t>
        </w:r>
      </w:hyperlink>
      <w:r>
        <w:t xml:space="preserve">)</w:t>
      </w:r>
    </w:p>
    <w:p>
      <w:pPr>
        <w:numPr>
          <w:ilvl w:val="0"/>
          <w:numId w:val="1002"/>
        </w:numPr>
      </w:pPr>
      <w:r>
        <w:t xml:space="preserve">Video (MP4,</w:t>
      </w:r>
      <w:r>
        <w:t xml:space="preserve"> </w:t>
      </w:r>
      <w:hyperlink r:id="rId27">
        <w:r>
          <w:rPr>
            <w:rStyle w:val="Hyperlink"/>
          </w:rPr>
          <w:t xml:space="preserve">https://en.wikipedia.org/wiki/MPEG-4_Part_14</w:t>
        </w:r>
      </w:hyperlink>
      <w:r>
        <w:t xml:space="preserve">)</w:t>
      </w:r>
    </w:p>
    <w:p>
      <w:pPr>
        <w:numPr>
          <w:ilvl w:val="0"/>
          <w:numId w:val="1002"/>
        </w:numPr>
      </w:pPr>
      <w:r>
        <w:t xml:space="preserve">…</w:t>
      </w:r>
    </w:p>
    <w:p>
      <w:pPr>
        <w:pStyle w:val="FirstParagraph"/>
      </w:pPr>
      <w:r>
        <w:t xml:space="preserve">Is there any information today that is not represented as digital? Vynyl records, old photographs, AM &amp; FM radio broadcasting.</w:t>
      </w:r>
    </w:p>
    <w:bookmarkStart w:id="28" w:name="digital-representation-terminology"/>
    <w:p>
      <w:pPr>
        <w:pStyle w:val="Heading3"/>
      </w:pPr>
      <w:r>
        <w:t xml:space="preserve">Digital Representation Terminology</w:t>
      </w:r>
    </w:p>
    <w:p>
      <w:pPr>
        <w:numPr>
          <w:ilvl w:val="0"/>
          <w:numId w:val="1003"/>
        </w:numPr>
      </w:pPr>
      <w:r>
        <w:t xml:space="preserve">A</w:t>
      </w:r>
      <w:r>
        <w:t xml:space="preserve"> </w:t>
      </w:r>
      <w:r>
        <w:rPr>
          <w:iCs/>
          <w:i/>
        </w:rPr>
        <w:t xml:space="preserve">binary digit</w:t>
      </w:r>
      <w:r>
        <w:t xml:space="preserve">, often abbreviated as a</w:t>
      </w:r>
      <w:r>
        <w:t xml:space="preserve"> </w:t>
      </w:r>
      <w:r>
        <w:rPr>
          <w:iCs/>
          <w:i/>
        </w:rPr>
        <w:t xml:space="preserve">bit</w:t>
      </w:r>
      <w:r>
        <w:t xml:space="preserve">, is a value</w:t>
      </w:r>
      <w:r>
        <w:t xml:space="preserve"> </w:t>
      </w:r>
      <m:oMath>
        <m:r>
          <m:t>b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}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A</w:t>
      </w:r>
      <w:r>
        <w:t xml:space="preserve"> </w:t>
      </w:r>
      <w:r>
        <w:rPr>
          <w:iCs/>
          <w:i/>
        </w:rPr>
        <w:t xml:space="preserve">bit stream</w:t>
      </w:r>
      <w:r>
        <w:t xml:space="preserve"> </w:t>
      </w:r>
      <w:r>
        <w:t xml:space="preserve">is an arbitrarily large sequences or string of bits,</w:t>
      </w:r>
      <w:r>
        <w:t xml:space="preserve"> </w:t>
      </w:r>
      <m:oMath>
        <m:r>
          <m:t>b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A</w:t>
      </w:r>
      <w:r>
        <w:t xml:space="preserve"> </w:t>
      </w:r>
      <w:r>
        <w:rPr>
          <w:iCs/>
          <w:i/>
        </w:rPr>
        <w:t xml:space="preserve">frame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packet</w:t>
      </w:r>
      <w:r>
        <w:t xml:space="preserve"> </w:t>
      </w:r>
      <w:r>
        <w:t xml:space="preserve">is a finite-length sequence or string of bits,</w:t>
      </w:r>
      <w:r>
        <w:t xml:space="preserve"> </w:t>
      </w:r>
      <m:oMath>
        <m:r>
          <m:t>b</m:t>
        </m:r>
        <m:d>
          <m:dPr>
            <m:begChr m:val="["/>
            <m:endChr m:val="]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N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}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A</w:t>
      </w:r>
      <w:r>
        <w:t xml:space="preserve"> </w:t>
      </w:r>
      <w:r>
        <w:rPr>
          <w:iCs/>
          <w:i/>
        </w:rPr>
        <w:t xml:space="preserve">subframe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field</w:t>
      </w:r>
      <w:r>
        <w:t xml:space="preserve"> </w:t>
      </w:r>
      <w:r>
        <w:t xml:space="preserve">is a finite-length sequence of string of bits defined as a part of a frame.</w:t>
      </w:r>
    </w:p>
    <w:p>
      <w:pPr>
        <w:pStyle w:val="FirstParagraph"/>
      </w:pPr>
      <w:r>
        <w:rPr>
          <w:bCs/>
          <w:b/>
        </w:rPr>
        <w:t xml:space="preserve">Example:</w:t>
      </w:r>
      <w:r>
        <w:t xml:space="preserve"> </w:t>
      </w:r>
      <w:r>
        <w:t xml:space="preserve">The MP4 standard defines a</w:t>
      </w:r>
      <w:r>
        <w:t xml:space="preserve"> </w:t>
      </w:r>
      <w:r>
        <w:t xml:space="preserve">“</w:t>
      </w:r>
      <w:r>
        <w:t xml:space="preserve">transport stream</w:t>
      </w:r>
      <w:r>
        <w:t xml:space="preserve">”</w:t>
      </w:r>
      <w:r>
        <w:t xml:space="preserve"> </w:t>
      </w:r>
      <w:r>
        <w:t xml:space="preserve">as a sequence of</w:t>
      </w:r>
      <w:r>
        <w:t xml:space="preserve"> </w:t>
      </w:r>
      <w:r>
        <w:t xml:space="preserve">“</w:t>
      </w:r>
      <w:r>
        <w:t xml:space="preserve">transport frames</w:t>
      </w:r>
      <w:r>
        <w:t xml:space="preserve">”</w:t>
      </w:r>
      <w:r>
        <w:t xml:space="preserve">, and each transport frame may contain video and audio frames.</w:t>
      </w:r>
    </w:p>
    <w:bookmarkEnd w:id="28"/>
    <w:bookmarkEnd w:id="29"/>
    <w:bookmarkStart w:id="33" w:name="wireline-communication-standards"/>
    <w:p>
      <w:pPr>
        <w:pStyle w:val="Heading2"/>
      </w:pPr>
      <w:r>
        <w:t xml:space="preserve">Wireline Communication Standards</w:t>
      </w:r>
    </w:p>
    <w:p>
      <w:pPr>
        <w:pStyle w:val="FirstParagraph"/>
      </w:pPr>
      <w:r>
        <w:rPr>
          <w:bCs/>
          <w:b/>
        </w:rPr>
        <w:t xml:space="preserve">Exploration:</w:t>
      </w:r>
      <w:r>
        <w:t xml:space="preserve"> </w:t>
      </w:r>
      <w:r>
        <w:t xml:space="preserve">Standards documents are great places to see how communication engineers specify systems, and learning what we need to learn!</w:t>
      </w:r>
    </w:p>
    <w:p>
      <w:pPr>
        <w:numPr>
          <w:ilvl w:val="0"/>
          <w:numId w:val="1004"/>
        </w:numPr>
      </w:pPr>
      <w:r>
        <w:t xml:space="preserve">RS232</w:t>
      </w:r>
      <w:r>
        <w:t xml:space="preserve"> </w:t>
      </w:r>
      <w:hyperlink r:id="rId30">
        <w:r>
          <w:rPr>
            <w:rStyle w:val="Hyperlink"/>
          </w:rPr>
          <w:t xml:space="preserve">https://en.wikipedia.org/wiki/RS-232</w:t>
        </w:r>
      </w:hyperlink>
    </w:p>
    <w:p>
      <w:pPr>
        <w:numPr>
          <w:ilvl w:val="0"/>
          <w:numId w:val="1004"/>
        </w:numPr>
      </w:pPr>
      <w:r>
        <w:t xml:space="preserve">USB</w:t>
      </w:r>
      <w:r>
        <w:t xml:space="preserve"> </w:t>
      </w:r>
      <w:hyperlink r:id="rId31">
        <w:r>
          <w:rPr>
            <w:rStyle w:val="Hyperlink"/>
          </w:rPr>
          <w:t xml:space="preserve">https://usb.org/document-library/usb-20-specification</w:t>
        </w:r>
      </w:hyperlink>
    </w:p>
    <w:p>
      <w:pPr>
        <w:numPr>
          <w:ilvl w:val="0"/>
          <w:numId w:val="1004"/>
        </w:numPr>
      </w:pPr>
      <w:r>
        <w:t xml:space="preserve">Ethernet</w:t>
      </w:r>
      <w:r>
        <w:t xml:space="preserve"> </w:t>
      </w:r>
      <w:hyperlink r:id="rId32">
        <w:r>
          <w:rPr>
            <w:rStyle w:val="Hyperlink"/>
          </w:rPr>
          <w:t xml:space="preserve">https://ieeexplore.ieee.org/document/8457469</w:t>
        </w:r>
      </w:hyperlink>
    </w:p>
    <w:p>
      <w:pPr>
        <w:pStyle w:val="FirstParagraph"/>
      </w:pPr>
      <w:r>
        <w:t xml:space="preserve">Each of these standards involves physical specifications for the wire media and connectors, electrical circuit interfaces to the media, signaling formats, and packet structures.</w:t>
      </w:r>
    </w:p>
    <w:p>
      <w:pPr>
        <w:pStyle w:val="BodyText"/>
      </w:pPr>
      <w:r>
        <w:t xml:space="preserve">A brief summary of these signaling formats is shown in the table below.</w:t>
      </w:r>
    </w:p>
    <w:p>
      <w:pPr>
        <w:pStyle w:val="BodyText"/>
      </w:pPr>
      <w:r>
        <w:rPr>
          <w:bCs/>
          <w:b/>
        </w:rPr>
        <w:t xml:space="preserve">TBD</w:t>
      </w:r>
    </w:p>
    <w:bookmarkEnd w:id="33"/>
    <w:bookmarkStart w:id="38" w:name="general-packet-structure"/>
    <w:p>
      <w:pPr>
        <w:pStyle w:val="Heading2"/>
      </w:pPr>
      <w:r>
        <w:t xml:space="preserve">General Packet Structure</w:t>
      </w:r>
    </w:p>
    <w:p>
      <w:pPr>
        <w:pStyle w:val="FirstParagraph"/>
      </w:pPr>
      <w:r>
        <w:t xml:space="preserve">Reviewing these communication standards (and many others), we see that there is a general format to digital frames or packets as illustrated in</w:t>
      </w:r>
      <w:r>
        <w:t xml:space="preserve"> </w:t>
      </w:r>
      <w:hyperlink w:anchor="fig-frame-structure">
        <w:r>
          <w:rPr>
            <w:rStyle w:val="Hyperlink"/>
          </w:rPr>
          <w:t xml:space="preserve">Figure 1</w:t>
        </w:r>
      </w:hyperlink>
      <w:r>
        <w:t xml:space="preserve">.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37" w:name="fig-frame-structure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images/Lec06-01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Generic frame structure.</w:t>
            </w:r>
          </w:p>
          <w:bookmarkEnd w:id="37"/>
        </w:tc>
      </w:tr>
    </w:tbl>
    <w:p>
      <w:pPr>
        <w:pStyle w:val="BodyText"/>
      </w:pPr>
      <w:r>
        <w:t xml:space="preserve">The three high-level fields of a packet include:</w:t>
      </w:r>
    </w:p>
    <w:p>
      <w:pPr>
        <w:numPr>
          <w:ilvl w:val="0"/>
          <w:numId w:val="1005"/>
        </w:numPr>
      </w:pPr>
      <w:r>
        <w:t xml:space="preserve">Header - Often includes subfields for synchronization, identifying the packet format, specifying the packet length, addressing, and so forth.</w:t>
      </w:r>
    </w:p>
    <w:p>
      <w:pPr>
        <w:numPr>
          <w:ilvl w:val="0"/>
          <w:numId w:val="1005"/>
        </w:numPr>
      </w:pPr>
      <w:r>
        <w:t xml:space="preserve">Payload - Contains the data as one or more sub-packets, can be variable length depending upon the protocol.</w:t>
      </w:r>
    </w:p>
    <w:p>
      <w:pPr>
        <w:numPr>
          <w:ilvl w:val="0"/>
          <w:numId w:val="1005"/>
        </w:numPr>
      </w:pPr>
      <w:r>
        <w:t xml:space="preserve">Trailer - When used, can include error detection and synchronization subfields.</w:t>
      </w:r>
    </w:p>
    <w:bookmarkEnd w:id="38"/>
    <w:bookmarkStart w:id="47" w:name="digital-signaling-waveforms"/>
    <w:p>
      <w:pPr>
        <w:pStyle w:val="Heading2"/>
      </w:pPr>
      <w:r>
        <w:t xml:space="preserve">Digital Signaling Waveforms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42" w:name="fig-rz-signaling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images/Lec06-02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2: Return-to-Zero (RZ) Signaling.</w:t>
            </w:r>
          </w:p>
          <w:bookmarkEnd w:id="4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46" w:name="fig-orz-signaling"/>
          <w:p>
            <w:pPr>
              <w:jc w:val="center"/>
            </w:pPr>
            <w:r>
              <w:drawing>
                <wp:inline>
                  <wp:extent cx="5943600" cy="3343275"/>
                  <wp:effectExtent b="0" l="0" r="0" t="0"/>
                  <wp:docPr descr="" title="" id="44" name="Picture"/>
                  <a:graphic>
                    <a:graphicData uri="http://schemas.openxmlformats.org/drawingml/2006/picture">
                      <pic:pic>
                        <pic:nvPicPr>
                          <pic:cNvPr descr="images/Lec06-03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3: Non-Return-to-Zero (NRZ) Signaling.</w:t>
            </w:r>
          </w:p>
          <w:bookmarkEnd w:id="46"/>
        </w:tc>
      </w:tr>
    </w:tbl>
    <w:bookmarkEnd w:id="47"/>
    <w:bookmarkStart w:id="53" w:name="mathematical-models"/>
    <w:p>
      <w:pPr>
        <w:pStyle w:val="Heading2"/>
      </w:pPr>
      <w:r>
        <w:t xml:space="preserve">Mathematical Models</w:t>
      </w:r>
    </w:p>
    <w:p>
      <w:pPr>
        <w:pStyle w:val="FirstParagraph"/>
      </w:pPr>
      <w:r>
        <w:t xml:space="preserve">Now we can formulate mathematical models for these signaling formats. In our notation, let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denote the bit, or symbol, period, so that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T</m:t>
        </m:r>
      </m:oMath>
      <w:r>
        <w:t xml:space="preserve"> </w:t>
      </w:r>
      <w:r>
        <w:t xml:space="preserve">denotes the data rate in bits per second.</w:t>
      </w:r>
    </w:p>
    <w:p>
      <w:pPr>
        <w:pStyle w:val="BodyText"/>
      </w:pPr>
      <w:r>
        <w:t xml:space="preserve">The following are the mathematical relationships for various signaling formats.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NRZ:</w:t>
      </w:r>
    </w:p>
    <w:p>
      <w:pPr>
        <w:pStyle w:val="BodyText"/>
      </w:pPr>
      <w:bookmarkStart w:id="48" w:name="eq-nrz-signal"/>
      <m:oMathPara>
        <m:oMathParaPr>
          <m:jc m:val="center"/>
        </m:oMathParaPr>
        <m:oMath>
          <m:nary>
            <m:naryPr>
              <m:chr m:val="∑"/>
              <m:limLoc m:val="undOvr"/>
              <m:subHide m:val="0"/>
              <m:supHide m:val="1"/>
            </m:naryPr>
            <m:sub>
              <m:r>
                <m:t>n</m:t>
              </m:r>
            </m:sub>
            <m:sup>
              <m:r>
                <m:t>​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n</m:t>
                  </m:r>
                </m:sub>
              </m:sSub>
            </m:e>
          </m:nary>
          <m:r>
            <m:t> 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  <m:r>
                    <m:t>T</m:t>
                  </m:r>
                </m:num>
                <m:den>
                  <m:r>
                    <m:t>T</m:t>
                  </m:r>
                </m:den>
              </m:f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48"/>
    </w:p>
    <w:p>
      <w:pPr>
        <w:numPr>
          <w:ilvl w:val="0"/>
          <w:numId w:val="1006"/>
        </w:numPr>
      </w:pPr>
      <w:r>
        <w:rPr>
          <w:bCs/>
          <w:b/>
        </w:rPr>
        <w:t xml:space="preserve">RZ:</w:t>
      </w:r>
    </w:p>
    <w:p>
      <w:pPr>
        <w:pStyle w:val="BodyText"/>
      </w:pPr>
      <w:bookmarkStart w:id="49" w:name="eq-rz-signal"/>
      <m:oMathPara>
        <m:oMathParaPr>
          <m:jc m:val="center"/>
        </m:oMathParaPr>
        <m:oMath>
          <m:nary>
            <m:naryPr>
              <m:chr m:val="∑"/>
              <m:limLoc m:val="undOvr"/>
              <m:subHide m:val="0"/>
              <m:supHide m:val="1"/>
            </m:naryPr>
            <m:sub>
              <m:r>
                <m:t>n</m:t>
              </m:r>
            </m:sub>
            <m:sup>
              <m:r>
                <m:t>​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n</m:t>
                  </m:r>
                </m:sub>
              </m:sSub>
            </m:e>
          </m:nary>
          <m:r>
            <m:t> 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  <m:r>
                    <m:t>T</m:t>
                  </m:r>
                </m:num>
                <m:den>
                  <m:sSub>
                    <m:e>
                      <m:r>
                        <m:t>T</m:t>
                      </m:r>
                    </m:e>
                    <m:sub>
                      <m:r>
                        <m:t>0</m:t>
                      </m:r>
                    </m:sub>
                  </m:sSub>
                </m:den>
              </m:f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49"/>
    </w:p>
    <w:p>
      <w:pPr>
        <w:numPr>
          <w:ilvl w:val="0"/>
          <w:numId w:val="1000"/>
        </w:numPr>
      </w:pPr>
      <w:r>
        <w:t xml:space="preserve">where</w:t>
      </w:r>
      <w:r>
        <w:t xml:space="preserve"> </w:t>
      </w:r>
      <m:oMath>
        <m:sSub>
          <m:e>
            <m:r>
              <m:t>T</m:t>
            </m:r>
          </m:e>
          <m:sub>
            <m:r>
              <m:t>0</m:t>
            </m:r>
          </m:sub>
        </m:sSub>
        <m:r>
          <m:rPr>
            <m:sty m:val="p"/>
          </m:rPr>
          <m:t>&lt;</m:t>
        </m:r>
        <m:r>
          <m:t>T</m:t>
        </m:r>
      </m:oMath>
    </w:p>
    <w:p>
      <w:pPr>
        <w:numPr>
          <w:ilvl w:val="0"/>
          <w:numId w:val="1006"/>
        </w:numPr>
      </w:pPr>
      <w:r>
        <w:rPr>
          <w:bCs/>
          <w:b/>
        </w:rPr>
        <w:t xml:space="preserve">Manchester:</w:t>
      </w:r>
      <w:r>
        <w:t xml:space="preserve"> </w:t>
      </w:r>
      <w:r>
        <w:t xml:space="preserve">Let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num>
                <m:den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den>
              </m:f>
            </m:e>
          </m:d>
          <m:r>
            <m:rPr>
              <m:sty m:val="p"/>
            </m:rPr>
            <m:t>−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num>
                <m:den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den>
              </m:f>
            </m:e>
          </m:d>
        </m:oMath>
      </m:oMathPara>
    </w:p>
    <w:p>
      <w:pPr>
        <w:numPr>
          <w:ilvl w:val="0"/>
          <w:numId w:val="1000"/>
        </w:numPr>
      </w:pPr>
      <w:r>
        <w:t xml:space="preserve">then</w:t>
      </w:r>
    </w:p>
    <w:p>
      <w:pPr>
        <w:pStyle w:val="BodyText"/>
      </w:pPr>
      <w:bookmarkStart w:id="50" w:name="eq-Manchester-signal"/>
      <m:oMathPara>
        <m:oMathParaPr>
          <m:jc m:val="center"/>
        </m:oMathParaPr>
        <m:oMath>
          <m:nary>
            <m:naryPr>
              <m:chr m:val="∑"/>
              <m:limLoc m:val="undOvr"/>
              <m:subHide m:val="0"/>
              <m:supHide m:val="1"/>
            </m:naryPr>
            <m:sub>
              <m:r>
                <m:t>n</m:t>
              </m:r>
            </m:sub>
            <m:sup>
              <m:r>
                <m:t>​</m:t>
              </m:r>
            </m:sup>
            <m:e>
              <m:sSub>
                <m:e>
                  <m:r>
                    <m:t>A</m:t>
                  </m:r>
                </m:e>
                <m:sub>
                  <m:r>
                    <m:t>n</m:t>
                  </m:r>
                </m:sub>
              </m:sSub>
            </m:e>
          </m:nary>
          <m:r>
            <m:t> </m:t>
          </m:r>
          <m:r>
            <m:t>p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  <m:r>
                    <m:t>T</m:t>
                  </m:r>
                </m:num>
                <m:den>
                  <m:r>
                    <m:t>T</m:t>
                  </m:r>
                </m:den>
              </m:f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50"/>
    </w:p>
    <w:p>
      <w:pPr>
        <w:pStyle w:val="FirstParagraph"/>
      </w:pPr>
      <w:r>
        <w:t xml:space="preserve">To complete the signal formats, we have to specify the values taken by the</w:t>
      </w:r>
      <w:r>
        <w:t xml:space="preserve"> </w:t>
      </w:r>
      <m:oMath>
        <m:r>
          <m:rPr>
            <m:sty m:val="p"/>
          </m:rPr>
          <m:t>{</m:t>
        </m:r>
        <m:sSub>
          <m:e>
            <m:r>
              <m:t>A</m:t>
            </m:r>
          </m:e>
          <m:sub>
            <m:r>
              <m:t>n</m:t>
            </m:r>
          </m:sub>
        </m:sSub>
        <m:r>
          <m:rPr>
            <m:sty m:val="p"/>
          </m:rPr>
          <m:t>}</m:t>
        </m:r>
      </m:oMath>
      <w:r>
        <w:t xml:space="preserve">: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On-Off Keying:</w:t>
      </w:r>
    </w:p>
    <w:p>
      <w:pPr>
        <w:pStyle w:val="BodyText"/>
      </w:pPr>
      <w:bookmarkStart w:id="51" w:name="eq-ook-constellation"/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1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+</m:t>
                    </m:r>
                    <m:r>
                      <m:t>V</m:t>
                    </m:r>
                  </m:e>
                  <m:e>
                    <m:r>
                      <m:t>b</m:t>
                    </m:r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r>
                          <m:t>n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b</m:t>
                    </m:r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r>
                          <m:t>n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mr>
              </m:m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4</m:t>
              </m:r>
            </m:e>
          </m:d>
        </m:oMath>
      </m:oMathPara>
      <w:bookmarkEnd w:id="51"/>
    </w:p>
    <w:p>
      <w:pPr>
        <w:numPr>
          <w:ilvl w:val="0"/>
          <w:numId w:val="1007"/>
        </w:numPr>
      </w:pPr>
      <w:r>
        <w:rPr>
          <w:bCs/>
          <w:b/>
        </w:rPr>
        <w:t xml:space="preserve">Antipodal:</w:t>
      </w:r>
    </w:p>
    <w:p>
      <w:pPr>
        <w:pStyle w:val="BodyText"/>
      </w:pPr>
      <w:bookmarkStart w:id="52" w:name="eq-antipodal-constellation"/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1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sty m:val="p"/>
                      </m:rPr>
                      <m:t>+</m:t>
                    </m:r>
                    <m:r>
                      <m:t>V</m:t>
                    </m:r>
                  </m:e>
                  <m:e>
                    <m:r>
                      <m:t>b</m:t>
                    </m:r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r>
                          <m:t>n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t>V</m:t>
                    </m:r>
                  </m:e>
                  <m:e>
                    <m:r>
                      <m:t>b</m:t>
                    </m:r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r>
                          <m:t>n</m:t>
                        </m:r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mr>
              </m:m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5</m:t>
              </m:r>
            </m:e>
          </m:d>
        </m:oMath>
      </m:oMathPara>
      <w:bookmarkEnd w:id="52"/>
    </w:p>
    <w:p>
      <w:pPr>
        <w:pStyle w:val="FirstParagraph"/>
      </w:pPr>
      <w:r>
        <w:t xml:space="preserve">We see from these relationships that we can generate these digital signaling waveforms with the same signals and systems concepts as interpolation!</w:t>
      </w:r>
    </w:p>
    <w:bookmarkEnd w:id="53"/>
    <w:bookmarkStart w:id="73" w:name="bandwidth"/>
    <w:p>
      <w:pPr>
        <w:pStyle w:val="Heading2"/>
      </w:pPr>
      <w:r>
        <w:t xml:space="preserve">Bandwidth</w:t>
      </w:r>
    </w:p>
    <w:p>
      <w:pPr>
        <w:pStyle w:val="FirstParagraph"/>
      </w:pPr>
      <w:r>
        <w:t xml:space="preserve">Given the prevalence of rectangular pulse waveform in these digital signaling formats, a natural issue to consider is the</w:t>
      </w:r>
      <w:r>
        <w:t xml:space="preserve"> </w:t>
      </w:r>
      <w:r>
        <w:t xml:space="preserve">“</w:t>
      </w:r>
      <w:r>
        <w:t xml:space="preserve">bandwidth</w:t>
      </w:r>
      <w:r>
        <w:t xml:space="preserve">”</w:t>
      </w:r>
      <w:r>
        <w:t xml:space="preserve"> </w:t>
      </w:r>
      <w:r>
        <w:t xml:space="preserve">of the transmission.</w:t>
      </w:r>
    </w:p>
    <w:p>
      <w:pPr>
        <w:pStyle w:val="BodyText"/>
      </w:pPr>
      <w:r>
        <w:t xml:space="preserve">Given the Fourier transform relationship</w:t>
      </w:r>
    </w:p>
    <w:p>
      <w:pPr>
        <w:pStyle w:val="BodyText"/>
      </w:pPr>
      <w:bookmarkStart w:id="54" w:name="eq-rectangular-sinc-fourier-pair"/>
      <m:oMathPara>
        <m:oMathParaPr>
          <m:jc m:val="center"/>
        </m:oMathParaPr>
        <m:oMath>
          <m:r>
            <m:t>p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/</m:t>
              </m:r>
              <m:r>
                <m:t>T</m:t>
              </m:r>
            </m:e>
          </m:d>
          <m:r>
            <m:rPr>
              <m:sty m:val="p"/>
            </m:rPr>
            <m:t>↔</m:t>
          </m:r>
          <m:r>
            <m:t>P</m:t>
          </m:r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=</m:t>
          </m:r>
          <m:r>
            <m:t>T</m:t>
          </m:r>
          <m:r>
            <m:rPr>
              <m:sty m:val="p"/>
            </m:rPr>
            <m:t>s</m:t>
          </m:r>
          <m:r>
            <m:rPr>
              <m:sty m:val="p"/>
            </m:rPr>
            <m:t>i</m:t>
          </m:r>
          <m:r>
            <m:rPr>
              <m:sty m:val="p"/>
            </m:rPr>
            <m:t>n</m:t>
          </m:r>
          <m:r>
            <m:rPr>
              <m:sty m:val="p"/>
            </m:rPr>
            <m:t>c</m:t>
          </m:r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  <m:r>
                <m:t>T</m:t>
              </m:r>
            </m:e>
          </m:d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6</m:t>
              </m:r>
            </m:e>
          </m:d>
        </m:oMath>
      </m:oMathPara>
      <w:bookmarkEnd w:id="54"/>
    </w:p>
    <w:p>
      <w:pPr>
        <w:pStyle w:val="FirstParagraph"/>
      </w:pPr>
      <w:r>
        <w:t xml:space="preserve">for general</w:t>
      </w:r>
      <w:r>
        <w:t xml:space="preserve"> </w:t>
      </w:r>
      <m:oMath>
        <m:r>
          <m:t>T</m:t>
        </m:r>
      </m:oMath>
      <w:r>
        <w:t xml:space="preserve">, we know that this waveform and waveforms derived from it are not bandlimited in a strict sense.</w:t>
      </w:r>
    </w:p>
    <w:p>
      <w:pPr>
        <w:pStyle w:val="BodyText"/>
      </w:pPr>
      <w:r>
        <w:t xml:space="preserve">We can compare the Fourier transforms of the various signaling formats as shown in the figures below. We start by importing our NumPy and Matplotlib libraries.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</w:p>
    <w:p>
      <w:pPr>
        <w:pStyle w:val="FirstParagraph"/>
      </w:pPr>
      <w:r>
        <w:t xml:space="preserve">Next we define the symbol period</w:t>
      </w:r>
      <w:r>
        <w:t xml:space="preserve"> </w:t>
      </w:r>
      <m:oMath>
        <m:r>
          <m:t>T</m:t>
        </m:r>
      </m:oMath>
      <w:r>
        <w:t xml:space="preserve">, the multipler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of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T</m:t>
        </m:r>
      </m:oMath>
      <w:r>
        <w:t xml:space="preserve"> </w:t>
      </w:r>
      <w:r>
        <w:t xml:space="preserve">we will use in the frequency domain, and the values of frequency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plot.</w:t>
      </w:r>
    </w:p>
    <w:p>
      <w:pPr>
        <w:pStyle w:val="SourceCode"/>
      </w:pPr>
      <w:r>
        <w:rPr>
          <w:rStyle w:val="NormalTok"/>
        </w:rPr>
        <w:t xml:space="preserve">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1e-6</w:t>
      </w:r>
      <w:r>
        <w:br/>
      </w:r>
      <w:r>
        <w:rPr>
          <w:rStyle w:val="NormalTok"/>
        </w:rPr>
        <w:t xml:space="preserve">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10.5</w:t>
      </w:r>
      <w:r>
        <w:br/>
      </w:r>
      <w:r>
        <w:rPr>
          <w:rStyle w:val="NormalTok"/>
        </w:rPr>
        <w:t xml:space="preserve">f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np.linspace(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W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T,W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T,</w:t>
      </w:r>
      <w:r>
        <w:rPr>
          <w:rStyle w:val="DecValTok"/>
        </w:rPr>
        <w:t xml:space="preserve">4000</w:t>
      </w:r>
      <w:r>
        <w:rPr>
          <w:rStyle w:val="NormalTok"/>
        </w:rPr>
        <w:t xml:space="preserve">)</w:t>
      </w:r>
    </w:p>
    <w:bookmarkStart w:id="61" w:name="nrz-waveform"/>
    <w:p>
      <w:pPr>
        <w:pStyle w:val="Heading3"/>
      </w:pPr>
      <w:r>
        <w:t xml:space="preserve">NRZ Waveform</w:t>
      </w:r>
    </w:p>
    <w:p>
      <w:pPr>
        <w:pStyle w:val="FirstParagraph"/>
      </w:pPr>
      <w:r>
        <w:t xml:space="preserve">We begin with the NRZ waveform.</w:t>
      </w:r>
    </w:p>
    <w:p>
      <w:pPr>
        <w:pStyle w:val="SourceCode"/>
      </w:pPr>
      <w:r>
        <w:rPr>
          <w:rStyle w:val="NormalTok"/>
        </w:rPr>
        <w:t xml:space="preserve">NRZ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np.sin(np.pi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T)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(np.pi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T)</w:t>
      </w:r>
    </w:p>
    <w:p>
      <w:pPr>
        <w:pStyle w:val="FirstParagraph"/>
      </w:pPr>
      <w:r>
        <w:t xml:space="preserve">The plot below illustrates the magnitude response of this Fourier transform, where we have appropriately normalized the vertical axis by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the horizonal axis by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T</m:t>
        </m:r>
      </m:oMath>
      <w:r>
        <w:t xml:space="preserve">. We observe that the waveform is</w:t>
      </w:r>
      <w:r>
        <w:t xml:space="preserve"> </w:t>
      </w:r>
      <w:r>
        <w:rPr>
          <w:bCs/>
          <w:b/>
        </w:rPr>
        <w:t xml:space="preserve">not bandlimited</w:t>
      </w:r>
      <w:r>
        <w:t xml:space="preserve">, but the magnitude response decays to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like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f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f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plt.plot(f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T,np.</w:t>
      </w:r>
      <w:r>
        <w:rPr>
          <w:rStyle w:val="BuiltInTok"/>
        </w:rPr>
        <w:t xml:space="preserve">abs</w:t>
      </w:r>
      <w:r>
        <w:rPr>
          <w:rStyle w:val="NormalTok"/>
        </w:rPr>
        <w:t xml:space="preserve">(NRZ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T),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,label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'NRZ'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plt.legend()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'$fT$'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'$|P(f)/T|$'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p>
      <w:pPr>
        <w:pStyle w:val="FirstParagraph"/>
      </w:pPr>
      <w:r>
        <w:drawing>
          <wp:inline>
            <wp:extent cx="4238625" cy="340995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Lec06-DigitalPacketsSignaling_files/figure-docx/cell-5-output-1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magnitude response equals zero for</w:t>
      </w:r>
      <w:r>
        <w:t xml:space="preserve"> </w:t>
      </w:r>
      <m:oMath>
        <m:r>
          <m:t>f</m:t>
        </m:r>
        <m:r>
          <m:rPr>
            <m:sty m:val="p"/>
          </m:rPr>
          <m:t>=</m:t>
        </m:r>
        <m:r>
          <m:t>k</m:t>
        </m:r>
        <m:r>
          <m:rPr>
            <m:sty m:val="p"/>
          </m:rPr>
          <m:t>/</m:t>
        </m:r>
        <m:r>
          <m:t>T</m:t>
        </m:r>
      </m:oMath>
      <w:r>
        <w:t xml:space="preserve">, where</w:t>
      </w:r>
      <w:r>
        <w:t xml:space="preserve"> </w:t>
      </w:r>
      <m:oMath>
        <m:r>
          <m:t>k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t>0</m:t>
        </m:r>
        <m:r>
          <m:rPr>
            <m:sty m:val="p"/>
          </m:rPr>
          <m:t>}</m:t>
        </m:r>
      </m:oMath>
      <w:r>
        <w:t xml:space="preserve">. We refer to the portion of the magnitude response for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T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/</m:t>
            </m:r>
            <m:r>
              <m:t>T</m:t>
            </m:r>
          </m:e>
        </m:d>
      </m:oMath>
      <w:r>
        <w:t xml:space="preserve"> </w:t>
      </w:r>
      <w:r>
        <w:t xml:space="preserve">as the</w:t>
      </w:r>
      <w:r>
        <w:t xml:space="preserve"> </w:t>
      </w:r>
      <w:r>
        <w:rPr>
          <w:iCs/>
          <w:i/>
        </w:rPr>
        <w:t xml:space="preserve">main lobe</w:t>
      </w:r>
      <w:r>
        <w:t xml:space="preserve">, and every other interval</w:t>
      </w:r>
      <w:r>
        <w:t xml:space="preserve"> </w:t>
      </w:r>
      <m:oMath>
        <m:r>
          <m:t>f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t>k</m:t>
        </m:r>
        <m:r>
          <m:rPr>
            <m:sty m:val="p"/>
          </m:rPr>
          <m:t>/</m:t>
        </m:r>
        <m:r>
          <m:t>T</m:t>
        </m:r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/</m:t>
        </m:r>
        <m:r>
          <m:t>T</m:t>
        </m:r>
        <m:r>
          <m:rPr>
            <m:sty m:val="p"/>
          </m:rPr>
          <m:t>)</m:t>
        </m:r>
      </m:oMath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as successive</w:t>
      </w:r>
      <w:r>
        <w:t xml:space="preserve"> </w:t>
      </w:r>
      <w:r>
        <w:rPr>
          <w:iCs/>
          <w:i/>
        </w:rPr>
        <w:t xml:space="preserve">side lobes</w:t>
      </w:r>
      <w:r>
        <w:t xml:space="preserve">.</w:t>
      </w:r>
    </w:p>
    <w:p>
      <w:pPr>
        <w:pStyle w:val="BodyText"/>
      </w:pPr>
      <w:r>
        <w:t xml:space="preserve">We define the</w:t>
      </w:r>
      <w:r>
        <w:t xml:space="preserve"> </w:t>
      </w:r>
      <w:r>
        <w:rPr>
          <w:iCs/>
          <w:i/>
        </w:rPr>
        <w:t xml:space="preserve">main lobe bandwidth</w:t>
      </w:r>
      <w:r>
        <w:t xml:space="preserve"> </w:t>
      </w:r>
      <w:r>
        <w:t xml:space="preserve">as the smallest positive frequency such that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f</m:t>
                </m:r>
              </m:e>
            </m:d>
          </m:e>
        </m:d>
        <m:r>
          <m:rPr>
            <m:sty m:val="p"/>
          </m:rPr>
          <m:t>=</m:t>
        </m:r>
        <m:r>
          <m:t>0</m:t>
        </m:r>
      </m:oMath>
      <w:r>
        <w:t xml:space="preserve">. In the case of the rectangular NRZ waveform with bit or symbol period</w:t>
      </w:r>
      <w:r>
        <w:t xml:space="preserve"> </w:t>
      </w:r>
      <m:oMath>
        <m:r>
          <m:t>T</m:t>
        </m:r>
      </m:oMath>
      <w:r>
        <w:t xml:space="preserve">, we see that the main lobe bandwidth is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T</m:t>
        </m:r>
      </m:oMath>
      <w:r>
        <w:t xml:space="preserve">, which corresponds to the data rate</w:t>
      </w:r>
      <w:r>
        <w:t xml:space="preserve"> </w:t>
      </w:r>
      <m:oMath>
        <m:r>
          <m:t>R</m:t>
        </m:r>
      </m:oMath>
      <w:r>
        <w:t xml:space="preserve">. Thus, transmitting higher data rates requires larger signal bandwidth in the NRZ signaling format.</w:t>
      </w:r>
    </w:p>
    <w:p>
      <w:pPr>
        <w:pStyle w:val="BodyText"/>
      </w:pPr>
      <w:r>
        <w:t xml:space="preserve">The plot below illustrates the magnitude response on a decibel (dB) scale and for narrower range of</w:t>
      </w:r>
      <w:r>
        <w:t xml:space="preserve"> </w:t>
      </w:r>
      <m:oMath>
        <m:r>
          <m:t>f</m:t>
        </m:r>
        <m:r>
          <m:t>T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plt.plot(f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T,</w:t>
      </w:r>
      <w:r>
        <w:rPr>
          <w:rStyle w:val="FloatTok"/>
        </w:rPr>
        <w:t xml:space="preserve">20.0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np.log10(np.</w:t>
      </w:r>
      <w:r>
        <w:rPr>
          <w:rStyle w:val="BuiltInTok"/>
        </w:rPr>
        <w:t xml:space="preserve">abs</w:t>
      </w:r>
      <w:r>
        <w:rPr>
          <w:rStyle w:val="NormalTok"/>
        </w:rPr>
        <w:t xml:space="preserve">(NRZ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T)),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,label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'NRZ'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plt.axis([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plt.legend()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'$fT$'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'$|P(f)/T|$ (dB)'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p>
      <w:pPr>
        <w:pStyle w:val="FirstParagraph"/>
      </w:pPr>
      <w:r>
        <w:drawing>
          <wp:inline>
            <wp:extent cx="4295775" cy="34671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Lec06-DigitalPacketsSignaling_files/figure-docx/cell-6-output-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Start w:id="65" w:name="rz-waveform"/>
    <w:p>
      <w:pPr>
        <w:pStyle w:val="Heading3"/>
      </w:pPr>
      <w:r>
        <w:t xml:space="preserve">RZ Waveform</w:t>
      </w:r>
    </w:p>
    <w:p>
      <w:pPr>
        <w:pStyle w:val="FirstParagraph"/>
      </w:pPr>
      <w:r>
        <w:t xml:space="preserve">Now we consider a RZ waveform with 50% duty cycle, i.e.,</w:t>
      </w:r>
      <w:r>
        <w:t xml:space="preserve"> </w:t>
      </w:r>
      <m:oMath>
        <m:sSub>
          <m:e>
            <m:r>
              <m:t>T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T</m:t>
        </m:r>
        <m:r>
          <m:rPr>
            <m:sty m:val="p"/>
          </m:rPr>
          <m:t>/</m:t>
        </m:r>
        <m:r>
          <m:t>2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T0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</w:t>
      </w:r>
      <w:r>
        <w:br/>
      </w:r>
      <w:r>
        <w:rPr>
          <w:rStyle w:val="NormalTok"/>
        </w:rPr>
        <w:t xml:space="preserve">RZ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T0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np.sin(np.pi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T0)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(np.pi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T0)</w:t>
      </w:r>
    </w:p>
    <w:p>
      <w:pPr>
        <w:pStyle w:val="FirstParagraph"/>
      </w:pPr>
      <w:r>
        <w:t xml:space="preserve">In the plot of the magnitude response of this waveform, we see that it has twice the main lobe bandwidth. More generally, the main lobe bandwidth of the RZ waveform is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sSub>
          <m:e>
            <m:r>
              <m:t>T</m:t>
            </m:r>
          </m:e>
          <m:sub>
            <m:r>
              <m:t>0</m:t>
            </m:r>
          </m:sub>
        </m:sSub>
      </m:oMath>
      <w:r>
        <w:t xml:space="preserve">. In this case, we observe that the main lobe bandwidth is actually larger than the data rate! However, as we grow the data rate by increasing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T</m:t>
        </m:r>
      </m:oMath>
      <w:r>
        <w:t xml:space="preserve">, we still increase the banwidth since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sSub>
          <m:e>
            <m:r>
              <m:t>T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1</m:t>
        </m:r>
        <m:r>
          <m:rPr>
            <m:sty m:val="p"/>
          </m:rPr>
          <m:t>/</m:t>
        </m:r>
        <m:r>
          <m:t>T</m:t>
        </m:r>
      </m:oMath>
      <w:r>
        <w:t xml:space="preserve">.</w:t>
      </w:r>
    </w:p>
    <w:p>
      <w:pPr>
        <w:pStyle w:val="SourceCode"/>
      </w:pPr>
      <w:r>
        <w:rPr>
          <w:rStyle w:val="NormalTok"/>
        </w:rPr>
        <w:t xml:space="preserve">plt.plot(f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T,</w:t>
      </w:r>
      <w:r>
        <w:rPr>
          <w:rStyle w:val="FloatTok"/>
        </w:rPr>
        <w:t xml:space="preserve">20.0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np.log10(np.</w:t>
      </w:r>
      <w:r>
        <w:rPr>
          <w:rStyle w:val="BuiltInTok"/>
        </w:rPr>
        <w:t xml:space="preserve">abs</w:t>
      </w:r>
      <w:r>
        <w:rPr>
          <w:rStyle w:val="NormalTok"/>
        </w:rPr>
        <w:t xml:space="preserve">(RZ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T)),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,label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'RZ'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plt.axis([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plt.legend()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'$fT$'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'$|P(f)/T|$ (dB)'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p>
      <w:pPr>
        <w:pStyle w:val="FirstParagraph"/>
      </w:pPr>
      <w:r>
        <w:drawing>
          <wp:inline>
            <wp:extent cx="4295775" cy="34671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Lec06-DigitalPacketsSignaling_files/figure-docx/cell-8-output-1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72" w:name="manchester-waveform"/>
    <w:p>
      <w:pPr>
        <w:pStyle w:val="Heading3"/>
      </w:pPr>
      <w:r>
        <w:t xml:space="preserve">Manchester Waveform</w:t>
      </w:r>
    </w:p>
    <w:p>
      <w:pPr>
        <w:pStyle w:val="FirstParagraph"/>
      </w:pPr>
      <w:r>
        <w:t xml:space="preserve">The time-domain waveform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num>
                <m:den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den>
              </m:f>
            </m:e>
          </m:d>
          <m:r>
            <m:rPr>
              <m:sty m:val="p"/>
            </m:rPr>
            <m:t>−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c</m:t>
          </m:r>
          <m:r>
            <m:rPr>
              <m:sty m:val="p"/>
            </m:rPr>
            <m:t>t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4</m:t>
                  </m:r>
                </m:num>
                <m:den>
                  <m:r>
                    <m:t>T</m:t>
                  </m:r>
                  <m:r>
                    <m:rPr>
                      <m:sty m:val="p"/>
                    </m:rPr>
                    <m:t>/</m:t>
                  </m:r>
                  <m:r>
                    <m:t>2</m:t>
                  </m:r>
                </m:den>
              </m:f>
            </m:e>
          </m:d>
        </m:oMath>
      </m:oMathPara>
    </w:p>
    <w:p>
      <w:pPr>
        <w:pStyle w:val="FirstParagraph"/>
      </w:pPr>
      <w:r>
        <w:t xml:space="preserve">has Fourier transform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d>
            <m:dPr>
              <m:begChr m:val="("/>
              <m:endChr m:val=")"/>
              <m:sepChr m:val=""/>
              <m:grow/>
            </m:dPr>
            <m:e>
              <m:r>
                <m:t>f</m:t>
              </m:r>
            </m:e>
          </m:d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t>j</m:t>
              </m:r>
              <m:r>
                <m:t>2</m:t>
              </m:r>
              <m:r>
                <m:t>π</m:t>
              </m:r>
              <m:r>
                <m:t>f</m:t>
              </m:r>
              <m:f>
                <m:fPr>
                  <m:type m:val="bar"/>
                </m:fPr>
                <m:num>
                  <m:r>
                    <m:t>T</m:t>
                  </m:r>
                </m:num>
                <m:den>
                  <m:r>
                    <m:t>4</m:t>
                  </m:r>
                </m:den>
              </m:f>
            </m:sup>
          </m:sSup>
          <m:f>
            <m:fPr>
              <m:type m:val="bar"/>
            </m:fPr>
            <m:num>
              <m:r>
                <m:t>T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s</m:t>
          </m:r>
          <m:r>
            <m:rPr>
              <m:sty m:val="p"/>
            </m:rPr>
            <m:t>i</m:t>
          </m:r>
          <m:r>
            <m:rPr>
              <m:sty m:val="p"/>
            </m:rPr>
            <m:t>n</m:t>
          </m:r>
          <m:r>
            <m:rPr>
              <m:sty m:val="p"/>
            </m:rPr>
            <m:t>c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f</m:t>
                  </m:r>
                  <m:r>
                    <m:t>T</m:t>
                  </m:r>
                </m:num>
                <m:den>
                  <m:r>
                    <m:t>2</m:t>
                  </m:r>
                </m:den>
              </m:f>
            </m:e>
          </m:d>
          <m:r>
            <m:rPr>
              <m:sty m:val="p"/>
            </m:rPr>
            <m:t>−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j</m:t>
              </m:r>
              <m:r>
                <m:t>2</m:t>
              </m:r>
              <m:r>
                <m:t>π</m:t>
              </m:r>
              <m:r>
                <m:t>f</m:t>
              </m:r>
              <m:f>
                <m:fPr>
                  <m:type m:val="bar"/>
                </m:fPr>
                <m:num>
                  <m:r>
                    <m:t>T</m:t>
                  </m:r>
                </m:num>
                <m:den>
                  <m:r>
                    <m:t>4</m:t>
                  </m:r>
                </m:den>
              </m:f>
            </m:sup>
          </m:sSup>
          <m:f>
            <m:fPr>
              <m:type m:val="bar"/>
            </m:fPr>
            <m:num>
              <m:r>
                <m:t>T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s</m:t>
          </m:r>
          <m:r>
            <m:rPr>
              <m:sty m:val="p"/>
            </m:rPr>
            <m:t>i</m:t>
          </m:r>
          <m:r>
            <m:rPr>
              <m:sty m:val="p"/>
            </m:rPr>
            <m:t>n</m:t>
          </m:r>
          <m:r>
            <m:rPr>
              <m:sty m:val="p"/>
            </m:rPr>
            <m:t>c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f</m:t>
                  </m:r>
                  <m:r>
                    <m:t>T</m:t>
                  </m:r>
                </m:num>
                <m:den>
                  <m:r>
                    <m:t>2</m:t>
                  </m:r>
                </m:den>
              </m:f>
            </m:e>
          </m:d>
          <m:r>
            <m:rPr>
              <m:sty m:val="p"/>
            </m:rPr>
            <m:t>=</m:t>
          </m:r>
          <m:r>
            <m:t>j</m:t>
          </m:r>
          <m:r>
            <m:t>T</m:t>
          </m:r>
          <m:r>
            <m:rPr>
              <m:sty m:val="p"/>
            </m:rPr>
            <m:t>sin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π</m:t>
                  </m:r>
                  <m:r>
                    <m:t>f</m:t>
                  </m:r>
                  <m:r>
                    <m:t>T</m:t>
                  </m:r>
                </m:num>
                <m:den>
                  <m:r>
                    <m:t>2</m:t>
                  </m:r>
                </m:den>
              </m:f>
            </m:e>
          </m:d>
          <m:r>
            <m:rPr>
              <m:sty m:val="p"/>
            </m:rPr>
            <m:t>s</m:t>
          </m:r>
          <m:r>
            <m:rPr>
              <m:sty m:val="p"/>
            </m:rPr>
            <m:t>i</m:t>
          </m:r>
          <m:r>
            <m:rPr>
              <m:sty m:val="p"/>
            </m:rPr>
            <m:t>n</m:t>
          </m:r>
          <m:r>
            <m:rPr>
              <m:sty m:val="p"/>
            </m:rPr>
            <m:t>c</m:t>
          </m:r>
          <m:d>
            <m:dPr>
              <m:begChr m:val="("/>
              <m:endChr m:val=")"/>
              <m:sepChr m:val=""/>
              <m:grow/>
            </m:dPr>
            <m:e>
              <m:f>
                <m:fPr>
                  <m:type m:val="bar"/>
                </m:fPr>
                <m:num>
                  <m:r>
                    <m:t>f</m:t>
                  </m:r>
                  <m:r>
                    <m:t>T</m:t>
                  </m:r>
                </m:num>
                <m:den>
                  <m:r>
                    <m:t>2</m:t>
                  </m:r>
                </m:den>
              </m:f>
            </m:e>
          </m:d>
        </m:oMath>
      </m:oMathPara>
    </w:p>
    <w:p>
      <w:pPr>
        <w:pStyle w:val="FirstParagraph"/>
      </w:pPr>
      <w:r>
        <w:t xml:space="preserve">We should not be surprised that this Fourier transform is purely imaginary, because the time-domain waveform is odd symmetric.</w:t>
      </w:r>
    </w:p>
    <w:p>
      <w:pPr>
        <w:pStyle w:val="SourceCode"/>
      </w:pPr>
      <w:r>
        <w:rPr>
          <w:rStyle w:val="NormalTok"/>
        </w:rPr>
        <w:t xml:space="preserve">MAN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therTok"/>
        </w:rPr>
        <w:t xml:space="preserve">1j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np.sin(np.pi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np.sin(np.pi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(np.pi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NormalTok"/>
        </w:rPr>
        <w:t xml:space="preserve">plt.plot(f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T,np.imag(MAN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T),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,label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'MAN'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plt.legend()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'$fT$'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'$\mathrm</w:t>
      </w:r>
      <w:r>
        <w:rPr>
          <w:rStyle w:val="SpecialCharTok"/>
        </w:rPr>
        <w:t xml:space="preserve">{Im}</w:t>
      </w:r>
      <w:r>
        <w:rPr>
          <w:rStyle w:val="StringTok"/>
        </w:rPr>
        <w:t xml:space="preserve">\{P(f)/T\}$'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p>
      <w:pPr>
        <w:pStyle w:val="FirstParagraph"/>
      </w:pPr>
      <w:r>
        <w:drawing>
          <wp:inline>
            <wp:extent cx="4324350" cy="340995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Lec06-DigitalPacketsSignaling_files/figure-docx/cell-10-output-1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plt.plot(f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T,</w:t>
      </w:r>
      <w:r>
        <w:rPr>
          <w:rStyle w:val="FloatTok"/>
        </w:rPr>
        <w:t xml:space="preserve">20.0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np.log10(np.</w:t>
      </w:r>
      <w:r>
        <w:rPr>
          <w:rStyle w:val="BuiltInTok"/>
        </w:rPr>
        <w:t xml:space="preserve">abs</w:t>
      </w:r>
      <w:r>
        <w:rPr>
          <w:rStyle w:val="NormalTok"/>
        </w:rPr>
        <w:t xml:space="preserve">(MAN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T)),</w:t>
      </w:r>
      <w:r>
        <w:rPr>
          <w:rStyle w:val="StringTok"/>
        </w:rPr>
        <w:t xml:space="preserve">'-'</w:t>
      </w:r>
      <w:r>
        <w:rPr>
          <w:rStyle w:val="NormalTok"/>
        </w:rPr>
        <w:t xml:space="preserve">,label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'MAN'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plt.axis([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plt.legend()</w:t>
      </w:r>
      <w:r>
        <w:br/>
      </w:r>
      <w:r>
        <w:rPr>
          <w:rStyle w:val="NormalTok"/>
        </w:rPr>
        <w:t xml:space="preserve">plt.xlabel(</w:t>
      </w:r>
      <w:r>
        <w:rPr>
          <w:rStyle w:val="StringTok"/>
        </w:rPr>
        <w:t xml:space="preserve">'$fT$'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plt.ylabel(</w:t>
      </w:r>
      <w:r>
        <w:rPr>
          <w:rStyle w:val="StringTok"/>
        </w:rPr>
        <w:t xml:space="preserve">'$|P(f)/T|$ (dB)'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p>
      <w:pPr>
        <w:pStyle w:val="FirstParagraph"/>
      </w:pPr>
      <w:r>
        <w:drawing>
          <wp:inline>
            <wp:extent cx="4295775" cy="34671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Lec06-DigitalPacketsSignaling_files/figure-docx/cell-11-output-1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 surprisingly, we see that the Manchester waveform has main lobe bandwidth</w:t>
      </w:r>
      <w:r>
        <w:t xml:space="preserve"> </w:t>
      </w:r>
      <m:oMath>
        <m:r>
          <m:t>2</m:t>
        </m:r>
        <m:r>
          <m:rPr>
            <m:sty m:val="p"/>
          </m:rPr>
          <m:t>/</m:t>
        </m:r>
        <m:r>
          <m:t>T</m:t>
        </m:r>
      </m:oMath>
      <w:r>
        <w:t xml:space="preserve"> </w:t>
      </w:r>
      <w:r>
        <w:t xml:space="preserve">like the 50% duty cycle rectangular waveform from which it is formed. However, the Manchester waveform has no DC component in the frequency domain.</w:t>
      </w:r>
    </w:p>
    <w:bookmarkEnd w:id="72"/>
    <w:bookmarkEnd w:id="73"/>
    <w:sectPr w:rsidR="00C5731A" w:rsidRPr="00C5731A" w:rsidSect="00336A44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9F1D" w14:textId="77777777" w:rsidR="000643F7" w:rsidRDefault="00064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2207" w14:textId="5B434CA9" w:rsidR="00C5731A" w:rsidRDefault="00C5731A" w:rsidP="000643F7">
    <w:pPr>
      <w:pStyle w:val="Footer"/>
      <w:jc w:val="right"/>
      <w:rPr>
        <w:rFonts w:cstheme="minorHAnsi"/>
      </w:rPr>
    </w:pPr>
    <w:r w:rsidRPr="00336A44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78B0B212" wp14:editId="5B31512F">
          <wp:simplePos x="0" y="0"/>
          <wp:positionH relativeFrom="column">
            <wp:posOffset>127635</wp:posOffset>
          </wp:positionH>
          <wp:positionV relativeFrom="paragraph">
            <wp:posOffset>-84384</wp:posOffset>
          </wp:positionV>
          <wp:extent cx="2325370" cy="448310"/>
          <wp:effectExtent l="0" t="0" r="0" b="0"/>
          <wp:wrapNone/>
          <wp:docPr id="14549805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80578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7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AF5ED0" w14:textId="0EEDFE59" w:rsidR="000643F7" w:rsidRDefault="00336A44" w:rsidP="000643F7">
    <w:pPr>
      <w:pStyle w:val="Footer"/>
      <w:jc w:val="right"/>
      <w:rPr>
        <w:rFonts w:cstheme="minorHAnsi"/>
      </w:rPr>
    </w:pPr>
    <w:r w:rsidRPr="00336A44">
      <w:rPr>
        <w:rFonts w:cstheme="minorHAnsi"/>
      </w:rPr>
      <w:t xml:space="preserve">Page </w:t>
    </w:r>
    <w:r w:rsidRPr="00336A44">
      <w:rPr>
        <w:rFonts w:cstheme="minorHAnsi"/>
      </w:rPr>
      <w:fldChar w:fldCharType="begin"/>
    </w:r>
    <w:r w:rsidRPr="00336A44">
      <w:rPr>
        <w:rFonts w:cstheme="minorHAnsi"/>
      </w:rPr>
      <w:instrText xml:space="preserve"> PAGE </w:instrText>
    </w:r>
    <w:r w:rsidRPr="00336A44">
      <w:rPr>
        <w:rFonts w:cstheme="minorHAnsi"/>
      </w:rPr>
      <w:fldChar w:fldCharType="separate"/>
    </w:r>
    <w:r w:rsidRPr="00336A44">
      <w:rPr>
        <w:rFonts w:cstheme="minorHAnsi"/>
        <w:noProof/>
      </w:rPr>
      <w:t>1</w:t>
    </w:r>
    <w:r w:rsidRPr="00336A44">
      <w:rPr>
        <w:rFonts w:cstheme="minorHAnsi"/>
      </w:rPr>
      <w:fldChar w:fldCharType="end"/>
    </w:r>
    <w:r w:rsidRPr="00336A44">
      <w:rPr>
        <w:rFonts w:cstheme="minorHAnsi"/>
      </w:rPr>
      <w:t xml:space="preserve"> of </w:t>
    </w:r>
    <w:r w:rsidRPr="00336A44">
      <w:rPr>
        <w:rFonts w:cstheme="minorHAnsi"/>
      </w:rPr>
      <w:fldChar w:fldCharType="begin"/>
    </w:r>
    <w:r w:rsidRPr="00336A44">
      <w:rPr>
        <w:rFonts w:cstheme="minorHAnsi"/>
      </w:rPr>
      <w:instrText xml:space="preserve"> NUMPAGES </w:instrText>
    </w:r>
    <w:r w:rsidRPr="00336A44">
      <w:rPr>
        <w:rFonts w:cstheme="minorHAnsi"/>
      </w:rPr>
      <w:fldChar w:fldCharType="separate"/>
    </w:r>
    <w:r w:rsidRPr="00336A44">
      <w:rPr>
        <w:rFonts w:cstheme="minorHAnsi"/>
        <w:noProof/>
      </w:rPr>
      <w:t>1</w:t>
    </w:r>
    <w:r w:rsidRPr="00336A44">
      <w:rPr>
        <w:rFonts w:cstheme="minorHAnsi"/>
      </w:rPr>
      <w:fldChar w:fldCharType="end"/>
    </w:r>
  </w:p>
  <w:p w14:paraId="78919F01" w14:textId="77777777" w:rsidR="00817FC3" w:rsidRDefault="00817FC3" w:rsidP="000643F7">
    <w:pPr>
      <w:pStyle w:val="Footer"/>
      <w:jc w:val="right"/>
      <w:rPr>
        <w:rFonts w:cstheme="minorHAnsi"/>
      </w:rPr>
    </w:pPr>
  </w:p>
  <w:p w14:paraId="5F9B140C" w14:textId="41EF7FD3" w:rsidR="00336A44" w:rsidRPr="00817FC3" w:rsidRDefault="000643F7" w:rsidP="000643F7">
    <w:pPr>
      <w:pStyle w:val="Footer"/>
      <w:jc w:val="center"/>
      <w:rPr>
        <w:rFonts w:cstheme="minorHAnsi"/>
        <w:sz w:val="18"/>
        <w:szCs w:val="18"/>
      </w:rPr>
    </w:pPr>
    <w:r w:rsidRPr="00817FC3">
      <w:rPr>
        <w:rFonts w:cstheme="minorHAnsi"/>
        <w:sz w:val="18"/>
        <w:szCs w:val="18"/>
      </w:rPr>
      <w:t xml:space="preserve">Copyright Nick Laneman, Jon Chisum, Bert Hochwald, 2020-2026. All Rights Reserved.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13B7" w14:textId="77777777" w:rsidR="000643F7" w:rsidRDefault="000643F7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3565" w14:textId="77777777" w:rsidR="000643F7" w:rsidRDefault="00064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D8F" w14:textId="77777777" w:rsidR="000643F7" w:rsidRDefault="00064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79D6" w14:textId="77777777" w:rsidR="000643F7" w:rsidRDefault="000643F7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VerticalSpacing w:val="36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5" w:val="bestFit"/>
  <w:proofState w:grammar="clean"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336A44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2F5496"/>
      <w:sz w:val="40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336A44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styleId="Heading3" w:type="paragraph">
    <w:name w:val="heading 3"/>
    <w:basedOn w:val="Normal"/>
    <w:next w:val="Normal"/>
    <w:link w:val="Heading3Char"/>
    <w:uiPriority w:val="9"/>
    <w:semiHidden/>
    <w:unhideWhenUsed/>
    <w:qFormat/>
    <w:rsid w:val="00336A44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2F5496"/>
      <w:sz w:val="28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336A44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2F5496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336A44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2F5496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336A44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336A44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336A44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336A44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336A44"/>
    <w:rPr>
      <w:rFonts w:asciiTheme="majorHAnsi" w:cstheme="majorBidi" w:eastAsiaTheme="majorEastAsia" w:hAnsiTheme="majorHAnsi"/>
      <w:color w:themeColor="accent1" w:themeShade="BF" w:val="2F5496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336A44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336A44"/>
    <w:rPr>
      <w:rFonts w:cstheme="majorBidi" w:eastAsiaTheme="majorEastAsia"/>
      <w:color w:themeColor="accent1" w:themeShade="BF" w:val="2F5496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336A44"/>
    <w:rPr>
      <w:rFonts w:cstheme="majorBidi" w:eastAsiaTheme="majorEastAsia"/>
      <w:i/>
      <w:iCs/>
      <w:color w:themeColor="accent1" w:themeShade="BF" w:val="2F5496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336A44"/>
    <w:rPr>
      <w:rFonts w:cstheme="majorBidi" w:eastAsiaTheme="majorEastAsia"/>
      <w:color w:themeColor="accent1" w:themeShade="BF" w:val="2F5496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336A44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336A44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336A44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336A44"/>
    <w:rPr>
      <w:rFonts w:cstheme="majorBidi" w:eastAsiaTheme="majorEastAsia"/>
      <w:color w:themeColor="text1" w:themeTint="D8" w:val="272727"/>
    </w:rPr>
  </w:style>
  <w:style w:styleId="Title" w:type="paragraph">
    <w:name w:val="Title"/>
    <w:basedOn w:val="Normal"/>
    <w:next w:val="Normal"/>
    <w:link w:val="TitleChar"/>
    <w:uiPriority w:val="10"/>
    <w:qFormat/>
    <w:rsid w:val="00336A44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336A4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336A44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336A44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336A44"/>
    <w:pPr>
      <w:spacing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336A44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336A44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336A44"/>
    <w:rPr>
      <w:i/>
      <w:iCs/>
      <w:color w:themeColor="accent1" w:themeShade="BF" w:val="2F5496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336A44"/>
    <w:pPr>
      <w:pBdr>
        <w:top w:color="2F5496" w:space="10" w:sz="4" w:themeColor="accent1" w:themeShade="BF" w:val="single"/>
        <w:bottom w:color="2F5496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2F5496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336A44"/>
    <w:rPr>
      <w:i/>
      <w:iCs/>
      <w:color w:themeColor="accent1" w:themeShade="BF" w:val="2F5496"/>
    </w:rPr>
  </w:style>
  <w:style w:styleId="IntenseReference" w:type="character">
    <w:name w:val="Intense Reference"/>
    <w:basedOn w:val="DefaultParagraphFont"/>
    <w:uiPriority w:val="32"/>
    <w:qFormat/>
    <w:rsid w:val="00336A44"/>
    <w:rPr>
      <w:b/>
      <w:bCs/>
      <w:smallCaps/>
      <w:color w:themeColor="accent1" w:themeShade="BF" w:val="2F5496"/>
      <w:spacing w:val="5"/>
    </w:rPr>
  </w:style>
  <w:style w:styleId="Header" w:type="paragraph">
    <w:name w:val="header"/>
    <w:basedOn w:val="Normal"/>
    <w:link w:val="HeaderChar"/>
    <w:uiPriority w:val="99"/>
    <w:unhideWhenUsed/>
    <w:rsid w:val="00336A44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36A44"/>
  </w:style>
  <w:style w:styleId="Footer" w:type="paragraph">
    <w:name w:val="footer"/>
    <w:basedOn w:val="Normal"/>
    <w:link w:val="FooterChar"/>
    <w:uiPriority w:val="99"/>
    <w:unhideWhenUsed/>
    <w:rsid w:val="00336A44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36A44"/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2" Target="media/rId62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hyperlink" Id="rId22" Target="https://en.wikipedia.org/wiki/ASCII;" TargetMode="External" /><Relationship Type="http://schemas.openxmlformats.org/officeDocument/2006/relationships/hyperlink" Id="rId24" Target="https://en.wikipedia.org/wiki/Adaptive_Multi-Rate_audio_codec" TargetMode="External" /><Relationship Type="http://schemas.openxmlformats.org/officeDocument/2006/relationships/hyperlink" Id="rId26" Target="https://en.wikipedia.org/wiki/JPEG" TargetMode="External" /><Relationship Type="http://schemas.openxmlformats.org/officeDocument/2006/relationships/hyperlink" Id="rId25" Target="https://en.wikipedia.org/wiki/MP3" TargetMode="External" /><Relationship Type="http://schemas.openxmlformats.org/officeDocument/2006/relationships/hyperlink" Id="rId27" Target="https://en.wikipedia.org/wiki/MPEG-4_Part_14" TargetMode="External" /><Relationship Type="http://schemas.openxmlformats.org/officeDocument/2006/relationships/hyperlink" Id="rId30" Target="https://en.wikipedia.org/wiki/RS-232" TargetMode="External" /><Relationship Type="http://schemas.openxmlformats.org/officeDocument/2006/relationships/hyperlink" Id="rId23" Target="https://en.wikipedia.org/wiki/Unicode" TargetMode="External" /><Relationship Type="http://schemas.openxmlformats.org/officeDocument/2006/relationships/hyperlink" Id="rId32" Target="https://ieeexplore.ieee.org/document/8457469" TargetMode="External" /><Relationship Type="http://schemas.openxmlformats.org/officeDocument/2006/relationships/hyperlink" Id="rId31" Target="https://usb.org/document-library/usb-20-specification" TargetMode="Externa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en.wikipedia.org/wiki/ASCII;" TargetMode="External" /><Relationship Type="http://schemas.openxmlformats.org/officeDocument/2006/relationships/hyperlink" Id="rId24" Target="https://en.wikipedia.org/wiki/Adaptive_Multi-Rate_audio_codec" TargetMode="External" /><Relationship Type="http://schemas.openxmlformats.org/officeDocument/2006/relationships/hyperlink" Id="rId26" Target="https://en.wikipedia.org/wiki/JPEG" TargetMode="External" /><Relationship Type="http://schemas.openxmlformats.org/officeDocument/2006/relationships/hyperlink" Id="rId25" Target="https://en.wikipedia.org/wiki/MP3" TargetMode="External" /><Relationship Type="http://schemas.openxmlformats.org/officeDocument/2006/relationships/hyperlink" Id="rId27" Target="https://en.wikipedia.org/wiki/MPEG-4_Part_14" TargetMode="External" /><Relationship Type="http://schemas.openxmlformats.org/officeDocument/2006/relationships/hyperlink" Id="rId30" Target="https://en.wikipedia.org/wiki/RS-232" TargetMode="External" /><Relationship Type="http://schemas.openxmlformats.org/officeDocument/2006/relationships/hyperlink" Id="rId23" Target="https://en.wikipedia.org/wiki/Unicode" TargetMode="External" /><Relationship Type="http://schemas.openxmlformats.org/officeDocument/2006/relationships/hyperlink" Id="rId32" Target="https://ieeexplore.ieee.org/document/8457469" TargetMode="External" /><Relationship Type="http://schemas.openxmlformats.org/officeDocument/2006/relationships/hyperlink" Id="rId31" Target="https://usb.org/document-library/usb-20-specific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06 - Digital Packets &amp; Signaling</dc:title>
  <dc:creator/>
  <cp:keywords/>
  <dcterms:created xsi:type="dcterms:W3CDTF">2026-03-16T23:58:30Z</dcterms:created>
  <dcterms:modified xsi:type="dcterms:W3CDTF">2026-03-16T23:58:30Z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opyright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jupyter">
    <vt:lpwstr>python3</vt:lpwstr>
  </property>
  <property fmtid="{D5CDD505-2E9C-101B-9397-08002B2CF9AE}" pid="8" name="labels">
    <vt:lpwstr/>
  </property>
  <property fmtid="{D5CDD505-2E9C-101B-9397-08002B2CF9AE}" pid="9" name="subtitle">
    <vt:lpwstr>EE-30023/31023, Department of Electrical Engineering, University of Notre Dame</vt:lpwstr>
  </property>
  <property fmtid="{D5CDD505-2E9C-101B-9397-08002B2CF9AE}" pid="10" name="toc-title">
    <vt:lpwstr>Table of contents</vt:lpwstr>
  </property>
</Properties>
</file>