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rId25.jpg" ContentType="image/jpeg"/>
  <Override PartName="/word/media/rId37.jpg" ContentType="image/jpeg"/>
  <Override PartName="/word/media/rId33.jpg" ContentType="image/jpeg"/>
  <Override PartName="/word/media/rId21.jpg" ContentType="image/jpeg"/>
  <Override PartName="/word/media/rId29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Syllabus</w:t>
      </w:r>
    </w:p>
    <w:p>
      <w:pPr>
        <w:pStyle w:val="Subtitle"/>
      </w:pPr>
      <w:r>
        <w:t xml:space="preserve">EE-30023/31023,</w:t>
      </w:r>
      <w:r>
        <w:t xml:space="preserve"> </w:t>
      </w:r>
      <w:r>
        <w:t xml:space="preserve">Department</w:t>
      </w:r>
      <w:r>
        <w:t xml:space="preserve"> </w:t>
      </w:r>
      <w:r>
        <w:t xml:space="preserve">of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Engineering,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Notre</w:t>
      </w:r>
      <w:r>
        <w:t xml:space="preserve"> </w:t>
      </w:r>
      <w:r>
        <w:t xml:space="preserve">Dame</w:t>
      </w:r>
    </w:p>
    <w:p>
      <w:pPr>
        <w:pStyle w:val="FirstParagraph"/>
      </w:pPr>
      <w:r>
        <w:t xml:space="preserve">EE-30023 and EE-31023 are the lecture and lab course numbers, respectively, for</w:t>
      </w:r>
      <w:r>
        <w:t xml:space="preserve"> </w:t>
      </w:r>
      <w:r>
        <w:rPr>
          <w:iCs/>
          <w:i/>
        </w:rPr>
        <w:t xml:space="preserve">Digital Radio Communication Systems</w:t>
      </w:r>
      <w:r>
        <w:t xml:space="preserve">, a junior / senior elective course offered</w:t>
      </w:r>
      <w:r>
        <w:t xml:space="preserve"> </w:t>
      </w:r>
      <w:r>
        <w:t xml:space="preserve">in the Department of Electrical Engineering at the University of Notre Dame. The</w:t>
      </w:r>
      <w:r>
        <w:t xml:space="preserve"> </w:t>
      </w:r>
      <w:r>
        <w:t xml:space="preserve">latest offering of this course in Spring 2026.</w:t>
      </w:r>
    </w:p>
    <w:bookmarkStart w:id="40" w:name="instruction-team"/>
    <w:p>
      <w:pPr>
        <w:pStyle w:val="Heading2"/>
      </w:pPr>
      <w:r>
        <w:t xml:space="preserve">Instruction Team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71"/>
        <w:gridCol w:w="1131"/>
        <w:gridCol w:w="1190"/>
        <w:gridCol w:w="2560"/>
        <w:gridCol w:w="196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Instructor, 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J. Nicholas Laneman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264 Fitzpatrick Hall</w:t>
            </w:r>
          </w:p>
        </w:tc>
        <w:tc>
          <w:tcPr/>
          <w:p>
            <w:pPr>
              <w:pStyle w:val="Compact"/>
              <w:jc w:val="left"/>
            </w:pPr>
            <w:hyperlink r:id="rId20">
              <w:r>
                <w:rPr>
                  <w:rStyle w:val="Hyperlink"/>
                </w:rPr>
                <w:t xml:space="preserve">jnl@nd.edu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032000" cy="2908300"/>
                  <wp:effectExtent b="0" l="0" r="0" t="0"/>
                  <wp:docPr descr="Laneman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mages/laneman.jpe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290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Teaching Assistant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Nazim Bicer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229 Cushing Hall</w:t>
            </w:r>
          </w:p>
        </w:tc>
        <w:tc>
          <w:tcPr/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hbicer@nd.edu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235200" cy="2235200"/>
                  <wp:effectExtent b="0" l="0" r="0" t="0"/>
                  <wp:docPr descr="Bicer" title="" id="26" name="Picture"/>
                  <a:graphic>
                    <a:graphicData uri="http://schemas.openxmlformats.org/drawingml/2006/picture">
                      <pic:pic>
                        <pic:nvPicPr>
                          <pic:cNvPr descr="images/bicer.jpe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2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Engineering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Clint Manning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253B Cushing Hall</w:t>
            </w:r>
          </w:p>
        </w:tc>
        <w:tc>
          <w:tcPr/>
          <w:p>
            <w:pPr>
              <w:pStyle w:val="Compact"/>
              <w:jc w:val="left"/>
            </w:pPr>
            <w:hyperlink r:id="rId28">
              <w:r>
                <w:rPr>
                  <w:rStyle w:val="Hyperlink"/>
                </w:rPr>
                <w:t xml:space="preserve">cmanning@nd.edu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032000" cy="2908300"/>
                  <wp:effectExtent b="0" l="0" r="0" t="0"/>
                  <wp:docPr descr="Manning" title="" id="30" name="Picture"/>
                  <a:graphic>
                    <a:graphicData uri="http://schemas.openxmlformats.org/drawingml/2006/picture">
                      <pic:pic>
                        <pic:nvPicPr>
                          <pic:cNvPr descr="images/manning.jpe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290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Advisor, Co-PI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Bertrand Hochwald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203B Cushing Hall</w:t>
            </w:r>
          </w:p>
        </w:tc>
        <w:tc>
          <w:tcPr/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bhochwald@nd.edu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032000" cy="2908300"/>
                  <wp:effectExtent b="0" l="0" r="0" t="0"/>
                  <wp:docPr descr="Hochwald" title="" id="34" name="Picture"/>
                  <a:graphic>
                    <a:graphicData uri="http://schemas.openxmlformats.org/drawingml/2006/picture">
                      <pic:pic>
                        <pic:nvPicPr>
                          <pic:cNvPr descr="images/hochwald.jpe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290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Advisor, Co-PI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Jonathan Chisum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226A Cushing Hall</w:t>
            </w:r>
          </w:p>
        </w:tc>
        <w:tc>
          <w:tcPr/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jchisum@nd.edu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032000" cy="2908300"/>
                  <wp:effectExtent b="0" l="0" r="0" t="0"/>
                  <wp:docPr descr="Chisum" title="" id="38" name="Picture"/>
                  <a:graphic>
                    <a:graphicData uri="http://schemas.openxmlformats.org/drawingml/2006/picture">
                      <pic:pic>
                        <pic:nvPicPr>
                          <pic:cNvPr descr="images/chisum.jpe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290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0"/>
    <w:bookmarkStart w:id="41" w:name="meetings"/>
    <w:p>
      <w:pPr>
        <w:pStyle w:val="Heading2"/>
      </w:pPr>
      <w:r>
        <w:t xml:space="preserve">Meetings</w:t>
      </w:r>
    </w:p>
    <w:p>
      <w:pPr>
        <w:pStyle w:val="FirstParagraph"/>
      </w:pPr>
      <w:r>
        <w:t xml:space="preserve">Lecture days and times will be: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Lectures:</w:t>
      </w:r>
      <w:r>
        <w:t xml:space="preserve"> </w:t>
      </w:r>
      <w:r>
        <w:t xml:space="preserve">Tuesdays &amp; Thursdays, 11:00am-12:15pm, 229 Hayes Healy Center</w:t>
      </w:r>
    </w:p>
    <w:p>
      <w:pPr>
        <w:pStyle w:val="FirstParagraph"/>
      </w:pPr>
      <w:r>
        <w:t xml:space="preserve">Lab Section days and times will be:</w:t>
      </w:r>
    </w:p>
    <w:p>
      <w:pPr>
        <w:numPr>
          <w:ilvl w:val="0"/>
          <w:numId w:val="1002"/>
        </w:numPr>
      </w:pPr>
      <w:r>
        <w:rPr>
          <w:iCs/>
          <w:i/>
        </w:rPr>
        <w:t xml:space="preserve">Lab Section 1:</w:t>
      </w:r>
      <w:r>
        <w:t xml:space="preserve"> </w:t>
      </w:r>
      <w:r>
        <w:t xml:space="preserve">Mondays, 3:30-6:30pm, 116 Cushing Hall</w:t>
      </w:r>
    </w:p>
    <w:p>
      <w:pPr>
        <w:numPr>
          <w:ilvl w:val="0"/>
          <w:numId w:val="1002"/>
        </w:numPr>
      </w:pPr>
      <w:r>
        <w:rPr>
          <w:iCs/>
          <w:i/>
        </w:rPr>
        <w:t xml:space="preserve">Lab Section 2:</w:t>
      </w:r>
      <w:r>
        <w:t xml:space="preserve"> </w:t>
      </w:r>
      <w:r>
        <w:t xml:space="preserve">Thursdays, 3:30-6:30pm, 116 Cushing Hall</w:t>
      </w:r>
    </w:p>
    <w:p>
      <w:pPr>
        <w:pStyle w:val="FirstParagraph"/>
      </w:pPr>
      <w:r>
        <w:t xml:space="preserve">Meetings work best (and are most fun) when they are highly interactive, so your</w:t>
      </w:r>
      <w:r>
        <w:t xml:space="preserve"> </w:t>
      </w:r>
      <w:r>
        <w:t xml:space="preserve">participation is important and strongly encouraged. Remember that asking</w:t>
      </w:r>
      <w:r>
        <w:t xml:space="preserve"> </w:t>
      </w:r>
      <w:r>
        <w:t xml:space="preserve">questions - whether in class or lab - is a sign of engagement in the material,</w:t>
      </w:r>
      <w:r>
        <w:t xml:space="preserve"> </w:t>
      </w:r>
      <w:r>
        <w:t xml:space="preserve">not an expression of weakness!</w:t>
      </w:r>
    </w:p>
    <w:bookmarkEnd w:id="41"/>
    <w:bookmarkStart w:id="42" w:name="office-hours"/>
    <w:p>
      <w:pPr>
        <w:pStyle w:val="Heading2"/>
      </w:pPr>
      <w:r>
        <w:t xml:space="preserve">Office Hours</w:t>
      </w:r>
    </w:p>
    <w:p>
      <w:pPr>
        <w:pStyle w:val="FirstParagraph"/>
      </w:pPr>
      <w:r>
        <w:t xml:space="preserve">The instructor will not schedule formal office hours, but will be available</w:t>
      </w:r>
      <w:r>
        <w:t xml:space="preserve"> </w:t>
      </w:r>
      <w:r>
        <w:t xml:space="preserve">immediately before or after lecture and at the start of lab sections to address</w:t>
      </w:r>
      <w:r>
        <w:t xml:space="preserve"> </w:t>
      </w:r>
      <w:r>
        <w:t xml:space="preserve">student questions on all aspects of the course.</w:t>
      </w:r>
    </w:p>
    <w:p>
      <w:pPr>
        <w:pStyle w:val="BodyText"/>
      </w:pPr>
      <w:r>
        <w:t xml:space="preserve">The teaching assistant will be very available during lab</w:t>
      </w:r>
      <w:r>
        <w:t xml:space="preserve"> </w:t>
      </w:r>
      <w:r>
        <w:t xml:space="preserve">sections to assist students with lab work and address broader questions about</w:t>
      </w:r>
      <w:r>
        <w:t xml:space="preserve"> </w:t>
      </w:r>
      <w:r>
        <w:t xml:space="preserve">homework and other technical course content.</w:t>
      </w:r>
    </w:p>
    <w:p>
      <w:pPr>
        <w:pStyle w:val="BodyText"/>
      </w:pPr>
      <w:r>
        <w:t xml:space="preserve">Please bear in mind that the instruction staff have many other responsibilities,</w:t>
      </w:r>
      <w:r>
        <w:t xml:space="preserve"> </w:t>
      </w:r>
      <w:r>
        <w:t xml:space="preserve">so try to make the most of these built-in opportunities for interaction.</w:t>
      </w:r>
    </w:p>
    <w:p>
      <w:pPr>
        <w:pStyle w:val="BodyText"/>
      </w:pPr>
      <w:r>
        <w:t xml:space="preserve">If an issue cannot be adequately addressed at the above times, or if you need</w:t>
      </w:r>
      <w:r>
        <w:t xml:space="preserve"> </w:t>
      </w:r>
      <w:r>
        <w:t xml:space="preserve">additional help, we may be able to briefly meet with you individually; send us</w:t>
      </w:r>
      <w:r>
        <w:t xml:space="preserve"> </w:t>
      </w:r>
      <w:r>
        <w:t xml:space="preserve">e-mail to try to schedule an appointment, or feel free to drop by our offices</w:t>
      </w:r>
      <w:r>
        <w:t xml:space="preserve"> </w:t>
      </w:r>
      <w:r>
        <w:t xml:space="preserve">whenever the door is open.</w:t>
      </w:r>
    </w:p>
    <w:bookmarkEnd w:id="42"/>
    <w:bookmarkStart w:id="47" w:name="course-reference-materials"/>
    <w:p>
      <w:pPr>
        <w:pStyle w:val="Heading2"/>
      </w:pPr>
      <w:r>
        <w:t xml:space="preserve">Course &amp; Reference Materials</w:t>
      </w:r>
    </w:p>
    <w:p>
      <w:pPr>
        <w:pStyle w:val="FirstParagraph"/>
      </w:pPr>
      <w:r>
        <w:t xml:space="preserve">The course development and instruction team will be preparing lecture notes,</w:t>
      </w:r>
      <w:r>
        <w:t xml:space="preserve"> </w:t>
      </w:r>
      <w:r>
        <w:t xml:space="preserve">prelab and quiz problems, and labs exercises that will be distributed at the</w:t>
      </w:r>
      <w:r>
        <w:t xml:space="preserve"> </w:t>
      </w:r>
      <w:r>
        <w:t xml:space="preserve">appropriate times. Together with an evolving educational radio kit for</w:t>
      </w:r>
      <w:r>
        <w:t xml:space="preserve"> </w:t>
      </w:r>
      <w:r>
        <w:t xml:space="preserve">laboratory exercises, we have started to refer to all these materials as</w:t>
      </w:r>
      <w:r>
        <w:t xml:space="preserve"> </w:t>
      </w:r>
      <w:r>
        <w:rPr>
          <w:iCs/>
          <w:i/>
        </w:rPr>
        <w:t xml:space="preserve">RadioWare</w:t>
      </w:r>
      <w:r>
        <w:t xml:space="preserve">.</w:t>
      </w:r>
    </w:p>
    <w:p>
      <w:pPr>
        <w:pStyle w:val="BodyText"/>
      </w:pPr>
      <w:r>
        <w:t xml:space="preserve">Released materials will be available at the following webpage:</w:t>
      </w:r>
    </w:p>
    <w:p>
      <w:pPr>
        <w:numPr>
          <w:ilvl w:val="0"/>
          <w:numId w:val="1003"/>
        </w:numPr>
        <w:pStyle w:val="Compact"/>
      </w:pPr>
      <w:r>
        <w:t xml:space="preserve">RadioWare Website,</w:t>
      </w:r>
      <w:r>
        <w:t xml:space="preserve"> </w:t>
      </w:r>
      <w:hyperlink r:id="rId43">
        <w:r>
          <w:rPr>
            <w:rStyle w:val="Hyperlink"/>
          </w:rPr>
          <w:t xml:space="preserve">https://ndwireless.github.io/radioware/</w:t>
        </w:r>
      </w:hyperlink>
    </w:p>
    <w:p>
      <w:pPr>
        <w:pStyle w:val="FirstParagraph"/>
      </w:pPr>
      <w:r>
        <w:t xml:space="preserve">Your careful review of, feedback on, and even contribution to these materials will be very appreciated.</w:t>
      </w:r>
    </w:p>
    <w:p>
      <w:pPr>
        <w:pStyle w:val="BodyText"/>
      </w:pPr>
      <w:r>
        <w:t xml:space="preserve">The recommended reference books for the course are:</w:t>
      </w:r>
    </w:p>
    <w:p>
      <w:pPr>
        <w:numPr>
          <w:ilvl w:val="0"/>
          <w:numId w:val="1004"/>
        </w:numPr>
        <w:pStyle w:val="Compact"/>
      </w:pPr>
      <w:r>
        <w:t xml:space="preserve">Michael Rice,</w:t>
      </w:r>
      <w:r>
        <w:t xml:space="preserve"> </w:t>
      </w:r>
      <w:r>
        <w:rPr>
          <w:iCs/>
          <w:i/>
        </w:rPr>
        <w:t xml:space="preserve">Digital Communications: A Discrete-Time Approach</w:t>
      </w:r>
      <w:r>
        <w:t xml:space="preserve">, Second</w:t>
      </w:r>
      <w:r>
        <w:t xml:space="preserve"> </w:t>
      </w:r>
      <w:r>
        <w:t xml:space="preserve">Edition, Self Published, 2020. Available from Amazon at</w:t>
      </w:r>
      <w:r>
        <w:t xml:space="preserve"> </w:t>
      </w:r>
      <w:hyperlink r:id="rId44">
        <w:r>
          <w:rPr>
            <w:rStyle w:val="Hyperlink"/>
          </w:rPr>
          <w:t xml:space="preserve">https://www.amazon.com/dp/B08GVGCKCC</w:t>
        </w:r>
      </w:hyperlink>
    </w:p>
    <w:p>
      <w:pPr>
        <w:numPr>
          <w:ilvl w:val="0"/>
          <w:numId w:val="1004"/>
        </w:numPr>
        <w:pStyle w:val="Compact"/>
      </w:pPr>
      <w:r>
        <w:t xml:space="preserve">Travis F. Collins, Robin Getz, Di Pu, and Alexander M. Wyglinski,</w:t>
      </w:r>
      <w:r>
        <w:t xml:space="preserve"> </w:t>
      </w:r>
      <w:r>
        <w:rPr>
          <w:iCs/>
          <w:i/>
        </w:rPr>
        <w:t xml:space="preserve">Software-Defined Radio for Engineers</w:t>
      </w:r>
      <w:r>
        <w:t xml:space="preserve">, Artech House, 2018. Available online</w:t>
      </w:r>
      <w:r>
        <w:t xml:space="preserve"> </w:t>
      </w:r>
      <w:r>
        <w:t xml:space="preserve">at</w:t>
      </w:r>
      <w:r>
        <w:t xml:space="preserve"> </w:t>
      </w:r>
      <w:hyperlink r:id="rId45">
        <w:r>
          <w:rPr>
            <w:rStyle w:val="Hyperlink"/>
          </w:rPr>
          <w:t xml:space="preserve">https://www.analog.com/en/education/education-library/software-defined-radio-for-engineers.html</w:t>
        </w:r>
      </w:hyperlink>
    </w:p>
    <w:p>
      <w:pPr>
        <w:numPr>
          <w:ilvl w:val="0"/>
          <w:numId w:val="1004"/>
        </w:numPr>
        <w:pStyle w:val="Compact"/>
      </w:pPr>
      <w:r>
        <w:t xml:space="preserve">David L. Adamy,</w:t>
      </w:r>
      <w:r>
        <w:t xml:space="preserve"> </w:t>
      </w:r>
      <w:r>
        <w:rPr>
          <w:iCs/>
          <w:i/>
        </w:rPr>
        <w:t xml:space="preserve">Introduction to Electronic Warfare Modeling and Simulation</w:t>
      </w:r>
      <w:r>
        <w:t xml:space="preserve">,</w:t>
      </w:r>
      <w:r>
        <w:t xml:space="preserve"> </w:t>
      </w:r>
      <w:r>
        <w:t xml:space="preserve">SciTech Publishing, 2006. Available online at</w:t>
      </w:r>
      <w:r>
        <w:t xml:space="preserve"> </w:t>
      </w:r>
      <w:hyperlink r:id="rId46">
        <w:r>
          <w:rPr>
            <w:rStyle w:val="Hyperlink"/>
          </w:rPr>
          <w:t xml:space="preserve">https://app.knovel.com/hotlink/toc/id:kpIEWMS004/introduction-electronic/introduction-electronic</w:t>
        </w:r>
      </w:hyperlink>
    </w:p>
    <w:bookmarkEnd w:id="47"/>
    <w:bookmarkStart w:id="50" w:name="homework"/>
    <w:p>
      <w:pPr>
        <w:pStyle w:val="Heading2"/>
      </w:pPr>
      <w:r>
        <w:t xml:space="preserve">Homework</w:t>
      </w:r>
    </w:p>
    <w:p>
      <w:pPr>
        <w:pStyle w:val="FirstParagraph"/>
      </w:pPr>
      <w:r>
        <w:t xml:space="preserve">Homework will consist of prelabs and lab reports, each described in further</w:t>
      </w:r>
      <w:r>
        <w:t xml:space="preserve"> </w:t>
      </w:r>
      <w:r>
        <w:t xml:space="preserve">detail below. You are expected to complete all assigned prelab problems and</w:t>
      </w:r>
      <w:r>
        <w:t xml:space="preserve"> </w:t>
      </w:r>
      <w:r>
        <w:t xml:space="preserve">lab exercises, though a randomly chosen subset will likely be graded.</w:t>
      </w:r>
    </w:p>
    <w:p>
      <w:pPr>
        <w:pStyle w:val="BodyText"/>
      </w:pPr>
      <w:r>
        <w:t xml:space="preserve">Although the grade you get on your homework is only one component of your course</w:t>
      </w:r>
      <w:r>
        <w:t xml:space="preserve"> </w:t>
      </w:r>
      <w:r>
        <w:t xml:space="preserve">grade, working through, and often struggling at length with, the prelabs</w:t>
      </w:r>
      <w:r>
        <w:t xml:space="preserve"> </w:t>
      </w:r>
      <w:r>
        <w:t xml:space="preserve">and lab exercises is a crucial part of the learning process and will invariably</w:t>
      </w:r>
      <w:r>
        <w:t xml:space="preserve"> </w:t>
      </w:r>
      <w:r>
        <w:t xml:space="preserve">have a major impact on your understanding of the material. This understanding</w:t>
      </w:r>
      <w:r>
        <w:t xml:space="preserve"> </w:t>
      </w:r>
      <w:r>
        <w:t xml:space="preserve">will, in turn, be reflected in your quiz and exam performance and overall course grade.</w:t>
      </w:r>
    </w:p>
    <w:p>
      <w:pPr>
        <w:pStyle w:val="BodyText"/>
      </w:pPr>
      <w:r>
        <w:t xml:space="preserve">Some items in the prelabs and lab exercises may be labeled as</w:t>
      </w:r>
      <w:r>
        <w:t xml:space="preserve"> </w:t>
      </w:r>
      <w:r>
        <w:t xml:space="preserve">“</w:t>
      </w:r>
      <w:r>
        <w:t xml:space="preserve">Optional</w:t>
      </w:r>
      <w:r>
        <w:t xml:space="preserve">”</w:t>
      </w:r>
      <w:r>
        <w:t xml:space="preserve">.</w:t>
      </w:r>
      <w:r>
        <w:t xml:space="preserve"> </w:t>
      </w:r>
      <w:r>
        <w:t xml:space="preserve">You can make use of these items if you feel you might benefit from some</w:t>
      </w:r>
      <w:r>
        <w:t xml:space="preserve"> </w:t>
      </w:r>
      <w:r>
        <w:t xml:space="preserve">additional exposure to the material or if you are simply interested. Optional</w:t>
      </w:r>
      <w:r>
        <w:t xml:space="preserve"> </w:t>
      </w:r>
      <w:r>
        <w:t xml:space="preserve">items we will not be graded, but we will provide solutions to them along with</w:t>
      </w:r>
      <w:r>
        <w:t xml:space="preserve"> </w:t>
      </w:r>
      <w:r>
        <w:t xml:space="preserve">those for the regular problems.</w:t>
      </w:r>
    </w:p>
    <w:bookmarkStart w:id="48" w:name="prelabs"/>
    <w:p>
      <w:pPr>
        <w:pStyle w:val="Heading3"/>
      </w:pPr>
      <w:r>
        <w:t xml:space="preserve">Prelabs</w:t>
      </w:r>
    </w:p>
    <w:p>
      <w:pPr>
        <w:pStyle w:val="FirstParagraph"/>
      </w:pPr>
      <w:r>
        <w:t xml:space="preserve">There will be prelabs approximately every week.</w:t>
      </w:r>
    </w:p>
    <w:p>
      <w:pPr>
        <w:pStyle w:val="BodyText"/>
      </w:pPr>
      <w:r>
        <w:t xml:space="preserve">We expect to issue prelabs at the end of your lab section and have them due a week</w:t>
      </w:r>
      <w:r>
        <w:t xml:space="preserve"> </w:t>
      </w:r>
      <w:r>
        <w:t xml:space="preserve">later at the beginning of your lab section. Solutions will be distributed after all prelabs are due;</w:t>
      </w:r>
      <w:r>
        <w:t xml:space="preserve"> </w:t>
      </w:r>
      <w:r>
        <w:t xml:space="preserve">consequently, late prelabs cannot be seriously evaluated.</w:t>
      </w:r>
    </w:p>
    <w:p>
      <w:pPr>
        <w:pStyle w:val="BodyText"/>
      </w:pPr>
      <w:r>
        <w:t xml:space="preserve">Moderate collaboration with one or two classmates is permitted, provided your</w:t>
      </w:r>
      <w:r>
        <w:t xml:space="preserve"> </w:t>
      </w:r>
      <w:r>
        <w:t xml:space="preserve">writeups are your own.</w:t>
      </w:r>
    </w:p>
    <w:bookmarkEnd w:id="48"/>
    <w:bookmarkStart w:id="49" w:name="lab-exercises-reports"/>
    <w:p>
      <w:pPr>
        <w:pStyle w:val="Heading3"/>
      </w:pPr>
      <w:r>
        <w:t xml:space="preserve">Lab Exercises &amp; Reports</w:t>
      </w:r>
    </w:p>
    <w:p>
      <w:pPr>
        <w:pStyle w:val="FirstParagraph"/>
      </w:pPr>
      <w:r>
        <w:t xml:space="preserve">Laboratory work will serve as an important reinforcement and extension of topics covered in lectures and prelabs.</w:t>
      </w:r>
    </w:p>
    <w:p>
      <w:pPr>
        <w:pStyle w:val="BodyText"/>
      </w:pPr>
      <w:r>
        <w:t xml:space="preserve">The lab exercises aim to familiarize students with practical issues in building</w:t>
      </w:r>
      <w:r>
        <w:t xml:space="preserve"> </w:t>
      </w:r>
      <w:r>
        <w:t xml:space="preserve">and testing radio communication systems, including the areas of analog and</w:t>
      </w:r>
      <w:r>
        <w:t xml:space="preserve"> </w:t>
      </w:r>
      <w:r>
        <w:t xml:space="preserve">digital hardware, software programming, measurements, and technical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Lab exercises will primarily be worked during lab sections, but students will be</w:t>
      </w:r>
      <w:r>
        <w:t xml:space="preserve"> </w:t>
      </w:r>
      <w:r>
        <w:t xml:space="preserve">able to access the equipment outside of lab sections subject to coordination</w:t>
      </w:r>
      <w:r>
        <w:t xml:space="preserve"> </w:t>
      </w:r>
      <w:r>
        <w:t xml:space="preserve">with the instruction team.</w:t>
      </w:r>
    </w:p>
    <w:p>
      <w:pPr>
        <w:pStyle w:val="BodyText"/>
      </w:pPr>
      <w:r>
        <w:t xml:space="preserve">Lab work will be conducted in teams of 2 students, but lab reports should be written up separately.</w:t>
      </w:r>
    </w:p>
    <w:p>
      <w:pPr>
        <w:pStyle w:val="BodyText"/>
      </w:pPr>
      <w:r>
        <w:t xml:space="preserve">The first day of lab will be Monday, January 26, 2026.</w:t>
      </w:r>
      <w:r>
        <w:t xml:space="preserve"> </w:t>
      </w:r>
      <w:r>
        <w:rPr>
          <w:bCs/>
          <w:b/>
        </w:rPr>
        <w:t xml:space="preserve">You must complete Lab Safety Training before you will</w:t>
      </w:r>
      <w:r>
        <w:rPr>
          <w:bCs/>
          <w:b/>
        </w:rPr>
        <w:t xml:space="preserve"> </w:t>
      </w:r>
      <w:r>
        <w:rPr>
          <w:bCs/>
          <w:b/>
        </w:rPr>
        <w:t xml:space="preserve">be allowed to enter the lab!</w:t>
      </w:r>
    </w:p>
    <w:bookmarkEnd w:id="49"/>
    <w:bookmarkEnd w:id="50"/>
    <w:bookmarkStart w:id="53" w:name="quizzes-exam"/>
    <w:p>
      <w:pPr>
        <w:pStyle w:val="Heading2"/>
      </w:pPr>
      <w:r>
        <w:t xml:space="preserve">Quizzes &amp; Exam</w:t>
      </w:r>
    </w:p>
    <w:bookmarkStart w:id="51" w:name="concept-quizzes"/>
    <w:p>
      <w:pPr>
        <w:pStyle w:val="Heading3"/>
      </w:pPr>
      <w:r>
        <w:t xml:space="preserve">Concept Quizzes</w:t>
      </w:r>
    </w:p>
    <w:p>
      <w:pPr>
        <w:pStyle w:val="FirstParagraph"/>
      </w:pPr>
      <w:r>
        <w:t xml:space="preserve">At the end of each learning module, we will have an short, in-class</w:t>
      </w:r>
      <w:r>
        <w:t xml:space="preserve"> </w:t>
      </w:r>
      <w:r>
        <w:t xml:space="preserve">“</w:t>
      </w:r>
      <w:r>
        <w:t xml:space="preserve">concept</w:t>
      </w:r>
      <w:r>
        <w:t xml:space="preserve"> </w:t>
      </w:r>
      <w:r>
        <w:t xml:space="preserve">quiz</w:t>
      </w:r>
      <w:r>
        <w:t xml:space="preserve">”</w:t>
      </w:r>
      <w:r>
        <w:t xml:space="preserve"> </w:t>
      </w:r>
      <w:r>
        <w:t xml:space="preserve">to check understanding and provide feedback to the instruction team.</w:t>
      </w:r>
    </w:p>
    <w:p>
      <w:pPr>
        <w:pStyle w:val="BodyText"/>
      </w:pPr>
      <w:r>
        <w:t xml:space="preserve">We expect learning modules to collect related topics and last about 3 weeks, on</w:t>
      </w:r>
      <w:r>
        <w:t xml:space="preserve"> </w:t>
      </w:r>
      <w:r>
        <w:t xml:space="preserve">average.</w:t>
      </w:r>
    </w:p>
    <w:p>
      <w:pPr>
        <w:pStyle w:val="BodyText"/>
      </w:pPr>
      <w:r>
        <w:t xml:space="preserve">Suggestions for quiz problems are always welcome, and come with an obvious</w:t>
      </w:r>
      <w:r>
        <w:t xml:space="preserve"> </w:t>
      </w:r>
      <w:r>
        <w:t xml:space="preserve">benefit to you if your problem is chosen!</w:t>
      </w:r>
    </w:p>
    <w:bookmarkEnd w:id="51"/>
    <w:bookmarkStart w:id="52" w:name="midterm-exam"/>
    <w:p>
      <w:pPr>
        <w:pStyle w:val="Heading3"/>
      </w:pPr>
      <w:r>
        <w:t xml:space="preserve">Midterm Exam</w:t>
      </w:r>
    </w:p>
    <w:p>
      <w:pPr>
        <w:pStyle w:val="FirstParagraph"/>
      </w:pPr>
      <w:r>
        <w:t xml:space="preserve">Each student will meet individually in the lab with members of the course</w:t>
      </w:r>
      <w:r>
        <w:t xml:space="preserve"> </w:t>
      </w:r>
      <w:r>
        <w:t xml:space="preserve">development and instruction team and will be asked questions about assembling a functioning</w:t>
      </w:r>
      <w:r>
        <w:t xml:space="preserve"> </w:t>
      </w:r>
      <w:r>
        <w:t xml:space="preserve">communications system using the lab kit. They will be evaluated on their understanding, methods,</w:t>
      </w:r>
      <w:r>
        <w:t xml:space="preserve"> </w:t>
      </w:r>
      <w:r>
        <w:t xml:space="preserve">and anticipated success. Students should also be prepared to address questions about</w:t>
      </w:r>
      <w:r>
        <w:t xml:space="preserve"> </w:t>
      </w:r>
      <w:r>
        <w:t xml:space="preserve">lecture topics covered up to the date of the midterm exam.</w:t>
      </w:r>
    </w:p>
    <w:p>
      <w:pPr>
        <w:pStyle w:val="BodyText"/>
      </w:pPr>
      <w:r>
        <w:t xml:space="preserve">We anticipate scheduling the midterm exams during the lab sections the week of March 2-6, 2026, just before Mid-Semester Break.</w:t>
      </w:r>
    </w:p>
    <w:p>
      <w:pPr>
        <w:pStyle w:val="BodyText"/>
      </w:pPr>
      <w:r>
        <w:t xml:space="preserve">This exam is designed to ensure that each student (outside of a group dynamic)</w:t>
      </w:r>
      <w:r>
        <w:t xml:space="preserve"> </w:t>
      </w:r>
      <w:r>
        <w:t xml:space="preserve">is absorbing the course concepts and becoming proficient in the lab setting.</w:t>
      </w:r>
    </w:p>
    <w:bookmarkEnd w:id="52"/>
    <w:bookmarkEnd w:id="53"/>
    <w:bookmarkStart w:id="54" w:name="final-project"/>
    <w:p>
      <w:pPr>
        <w:pStyle w:val="Heading2"/>
      </w:pPr>
      <w:r>
        <w:t xml:space="preserve">Final Project</w:t>
      </w:r>
    </w:p>
    <w:p>
      <w:pPr>
        <w:pStyle w:val="FirstParagraph"/>
      </w:pPr>
      <w:r>
        <w:t xml:space="preserve">The last several lab sections, nominally 4, will provide student groups with the</w:t>
      </w:r>
      <w:r>
        <w:t xml:space="preserve"> </w:t>
      </w:r>
      <w:r>
        <w:t xml:space="preserve">opportunity to extend the lab kit to address a challenging scenario related to</w:t>
      </w:r>
      <w:r>
        <w:t xml:space="preserve"> </w:t>
      </w:r>
      <w:r>
        <w:t xml:space="preserve">congested and contested radio spectrum.</w:t>
      </w:r>
    </w:p>
    <w:p>
      <w:pPr>
        <w:pStyle w:val="BodyText"/>
      </w:pPr>
      <w:r>
        <w:t xml:space="preserve">Relevant final project topics will be suggested by the instruction team and their research</w:t>
      </w:r>
      <w:r>
        <w:t xml:space="preserve"> </w:t>
      </w:r>
      <w:r>
        <w:t xml:space="preserve">collaborators, and students will propose a solution, develop and test it, and</w:t>
      </w:r>
      <w:r>
        <w:t xml:space="preserve"> </w:t>
      </w:r>
      <w:r>
        <w:t xml:space="preserve">present it to the class and instruction team for feedback along the way.</w:t>
      </w:r>
    </w:p>
    <w:p>
      <w:pPr>
        <w:pStyle w:val="BodyText"/>
      </w:pPr>
      <w:r>
        <w:t xml:space="preserve">Specifically, after the first week students will present their approaches to</w:t>
      </w:r>
      <w:r>
        <w:t xml:space="preserve"> </w:t>
      </w:r>
      <w:r>
        <w:t xml:space="preserve">each other for anonymous</w:t>
      </w:r>
      <w:r>
        <w:t xml:space="preserve"> </w:t>
      </w:r>
      <w:r>
        <w:t xml:space="preserve">“</w:t>
      </w:r>
      <w:r>
        <w:t xml:space="preserve">red-team</w:t>
      </w:r>
      <w:r>
        <w:t xml:space="preserve">”</w:t>
      </w:r>
      <w:r>
        <w:t xml:space="preserve"> </w:t>
      </w:r>
      <w:r>
        <w:t xml:space="preserve">peer critique. Weeks two and three will be</w:t>
      </w:r>
      <w:r>
        <w:t xml:space="preserve"> </w:t>
      </w:r>
      <w:r>
        <w:t xml:space="preserve">spent implementing the proposed team solution. In the fourth and final week,</w:t>
      </w:r>
      <w:r>
        <w:t xml:space="preserve"> </w:t>
      </w:r>
      <w:r>
        <w:t xml:space="preserve">research collaborators will be invited to visit campus or participate via web</w:t>
      </w:r>
      <w:r>
        <w:t xml:space="preserve"> </w:t>
      </w:r>
      <w:r>
        <w:t xml:space="preserve">conference for final review of presentations and demonstration.</w:t>
      </w:r>
    </w:p>
    <w:p>
      <w:pPr>
        <w:pStyle w:val="BodyText"/>
      </w:pPr>
      <w:r>
        <w:t xml:space="preserve">We anticipate scheduling the final project presentations and demonstrations</w:t>
      </w:r>
      <w:r>
        <w:t xml:space="preserve"> </w:t>
      </w:r>
      <w:r>
        <w:t xml:space="preserve">during the lab sections the last week of class, April 27-May 1, 2026.</w:t>
      </w:r>
    </w:p>
    <w:bookmarkEnd w:id="54"/>
    <w:bookmarkStart w:id="55" w:name="course-grade"/>
    <w:p>
      <w:pPr>
        <w:pStyle w:val="Heading2"/>
      </w:pPr>
      <w:r>
        <w:t xml:space="preserve">Course Grade</w:t>
      </w:r>
    </w:p>
    <w:p>
      <w:pPr>
        <w:pStyle w:val="FirstParagraph"/>
      </w:pPr>
      <w:r>
        <w:t xml:space="preserve">Your course grade will be based upon our best assessment of your understanding</w:t>
      </w:r>
      <w:r>
        <w:t xml:space="preserve"> </w:t>
      </w:r>
      <w:r>
        <w:t xml:space="preserve">of the material covered during the semester. Roughly, the weights used in the</w:t>
      </w:r>
      <w:r>
        <w:t xml:space="preserve"> </w:t>
      </w:r>
      <w:r>
        <w:t xml:space="preserve">grade assignment will be:</w:t>
      </w:r>
    </w:p>
    <w:p>
      <w:pPr>
        <w:numPr>
          <w:ilvl w:val="0"/>
          <w:numId w:val="1005"/>
        </w:numPr>
        <w:pStyle w:val="Compact"/>
      </w:pPr>
      <w:r>
        <w:t xml:space="preserve">Homework: 50% (Nominally Prelabs: 20%, Lab Reports: 30%)</w:t>
      </w:r>
    </w:p>
    <w:p>
      <w:pPr>
        <w:numPr>
          <w:ilvl w:val="0"/>
          <w:numId w:val="1005"/>
        </w:numPr>
        <w:pStyle w:val="Compact"/>
      </w:pPr>
      <w:r>
        <w:t xml:space="preserve">Concept Quizzes: 10%</w:t>
      </w:r>
    </w:p>
    <w:p>
      <w:pPr>
        <w:numPr>
          <w:ilvl w:val="0"/>
          <w:numId w:val="1005"/>
        </w:numPr>
        <w:pStyle w:val="Compact"/>
      </w:pPr>
      <w:r>
        <w:t xml:space="preserve">Midterm Exam: 20%</w:t>
      </w:r>
    </w:p>
    <w:p>
      <w:pPr>
        <w:numPr>
          <w:ilvl w:val="0"/>
          <w:numId w:val="1005"/>
        </w:numPr>
        <w:pStyle w:val="Compact"/>
      </w:pPr>
      <w:r>
        <w:t xml:space="preserve">Final Project: 20%</w:t>
      </w:r>
    </w:p>
    <w:p>
      <w:pPr>
        <w:pStyle w:val="FirstParagraph"/>
      </w:pPr>
      <w:r>
        <w:t xml:space="preserve">However, other factors such as participation and interactions in meetings can</w:t>
      </w:r>
      <w:r>
        <w:t xml:space="preserve"> </w:t>
      </w:r>
      <w:r>
        <w:t xml:space="preserve">make a non-negligible difference in the course grade. In general, the process of</w:t>
      </w:r>
      <w:r>
        <w:t xml:space="preserve"> </w:t>
      </w:r>
      <w:r>
        <w:t xml:space="preserve">assigning a course grade involves careful review of performance in all aspects</w:t>
      </w:r>
      <w:r>
        <w:t xml:space="preserve"> </w:t>
      </w:r>
      <w:r>
        <w:t xml:space="preserve">of the course. Although the focus of the course is obviously learning, not</w:t>
      </w:r>
      <w:r>
        <w:t xml:space="preserve"> </w:t>
      </w:r>
      <w:r>
        <w:t xml:space="preserve">grades, we know the course grade is important to you, and we want you to know</w:t>
      </w:r>
      <w:r>
        <w:t xml:space="preserve"> </w:t>
      </w:r>
      <w:r>
        <w:t xml:space="preserve">that we take the process seriously.</w:t>
      </w:r>
    </w:p>
    <w:bookmarkEnd w:id="55"/>
    <w:sectPr w:rsidR="00C5731A" w:rsidRPr="00C5731A" w:rsidSect="00336A44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9F1D" w14:textId="77777777" w:rsidR="000643F7" w:rsidRDefault="00064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207" w14:textId="5B434CA9" w:rsidR="00C5731A" w:rsidRDefault="00C5731A" w:rsidP="000643F7">
    <w:pPr>
      <w:pStyle w:val="Footer"/>
      <w:jc w:val="right"/>
      <w:rPr>
        <w:rFonts w:cstheme="minorHAnsi"/>
      </w:rPr>
    </w:pPr>
    <w:r w:rsidRPr="00336A44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8B0B212" wp14:editId="5B31512F">
          <wp:simplePos x="0" y="0"/>
          <wp:positionH relativeFrom="column">
            <wp:posOffset>127635</wp:posOffset>
          </wp:positionH>
          <wp:positionV relativeFrom="paragraph">
            <wp:posOffset>-84384</wp:posOffset>
          </wp:positionV>
          <wp:extent cx="2325370" cy="448310"/>
          <wp:effectExtent l="0" t="0" r="0" b="0"/>
          <wp:wrapNone/>
          <wp:docPr id="14549805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057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F5ED0" w14:textId="0EEDFE59" w:rsidR="000643F7" w:rsidRDefault="00336A44" w:rsidP="000643F7">
    <w:pPr>
      <w:pStyle w:val="Footer"/>
      <w:jc w:val="right"/>
      <w:rPr>
        <w:rFonts w:cstheme="minorHAnsi"/>
      </w:rPr>
    </w:pPr>
    <w:r w:rsidRPr="00336A44">
      <w:rPr>
        <w:rFonts w:cstheme="minorHAnsi"/>
      </w:rPr>
      <w:t xml:space="preserve">Page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PAGE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  <w:r w:rsidRPr="00336A44">
      <w:rPr>
        <w:rFonts w:cstheme="minorHAnsi"/>
      </w:rPr>
      <w:t xml:space="preserve"> of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NUMPAGES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</w:p>
  <w:p w14:paraId="78919F01" w14:textId="77777777" w:rsidR="00817FC3" w:rsidRDefault="00817FC3" w:rsidP="000643F7">
    <w:pPr>
      <w:pStyle w:val="Footer"/>
      <w:jc w:val="right"/>
      <w:rPr>
        <w:rFonts w:cstheme="minorHAnsi"/>
      </w:rPr>
    </w:pPr>
  </w:p>
  <w:p w14:paraId="5F9B140C" w14:textId="41EF7FD3" w:rsidR="00336A44" w:rsidRPr="00817FC3" w:rsidRDefault="000643F7" w:rsidP="000643F7">
    <w:pPr>
      <w:pStyle w:val="Footer"/>
      <w:jc w:val="center"/>
      <w:rPr>
        <w:rFonts w:cstheme="minorHAnsi"/>
        <w:sz w:val="18"/>
        <w:szCs w:val="18"/>
      </w:rPr>
    </w:pPr>
    <w:r w:rsidRPr="00817FC3">
      <w:rPr>
        <w:rFonts w:cstheme="minorHAnsi"/>
        <w:sz w:val="18"/>
        <w:szCs w:val="18"/>
      </w:rPr>
      <w:t xml:space="preserve">Copyright Nick Laneman, Jon Chisum, Bert Hochwald, 2020-2026. All Rights Reserved.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13B7" w14:textId="77777777" w:rsidR="000643F7" w:rsidRDefault="000643F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565" w14:textId="77777777" w:rsidR="000643F7" w:rsidRDefault="0006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D8F" w14:textId="77777777" w:rsidR="000643F7" w:rsidRDefault="00064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79D6" w14:textId="77777777" w:rsidR="000643F7" w:rsidRDefault="000643F7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VerticalSpacing w:val="36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5" w:val="bestFit"/>
  <w:proofState w:grammar="clean"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336A44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336A44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semiHidden/>
    <w:unhideWhenUsed/>
    <w:qFormat/>
    <w:rsid w:val="00336A44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2F5496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336A44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2F5496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336A44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2F5496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336A44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336A44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336A44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336A44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336A44"/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336A44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336A44"/>
    <w:rPr>
      <w:rFonts w:cstheme="majorBidi" w:eastAsiaTheme="majorEastAsia"/>
      <w:color w:themeColor="accent1" w:themeShade="BF" w:val="2F5496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336A44"/>
    <w:rPr>
      <w:rFonts w:cstheme="majorBidi" w:eastAsiaTheme="majorEastAsia"/>
      <w:i/>
      <w:iCs/>
      <w:color w:themeColor="accent1" w:themeShade="BF" w:val="2F5496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336A44"/>
    <w:rPr>
      <w:rFonts w:cstheme="majorBidi" w:eastAsiaTheme="majorEastAsia"/>
      <w:color w:themeColor="accent1" w:themeShade="BF" w:val="2F5496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336A44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336A44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336A44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336A44"/>
    <w:rPr>
      <w:rFonts w:cstheme="majorBidi" w:eastAsiaTheme="majorEastAsia"/>
      <w:color w:themeColor="text1" w:themeTint="D8" w:val="272727"/>
    </w:rPr>
  </w:style>
  <w:style w:styleId="Title" w:type="paragraph">
    <w:name w:val="Title"/>
    <w:basedOn w:val="Normal"/>
    <w:next w:val="Normal"/>
    <w:link w:val="TitleChar"/>
    <w:uiPriority w:val="10"/>
    <w:qFormat/>
    <w:rsid w:val="00336A44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36A4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336A44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336A44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336A44"/>
    <w:pPr>
      <w:spacing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336A44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336A44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336A44"/>
    <w:rPr>
      <w:i/>
      <w:iCs/>
      <w:color w:themeColor="accent1" w:themeShade="BF" w:val="2F5496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336A44"/>
    <w:pPr>
      <w:pBdr>
        <w:top w:color="2F5496" w:space="10" w:sz="4" w:themeColor="accent1" w:themeShade="BF" w:val="single"/>
        <w:bottom w:color="2F5496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2F5496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336A44"/>
    <w:rPr>
      <w:i/>
      <w:iCs/>
      <w:color w:themeColor="accent1" w:themeShade="BF" w:val="2F5496"/>
    </w:rPr>
  </w:style>
  <w:style w:styleId="IntenseReference" w:type="character">
    <w:name w:val="Intense Reference"/>
    <w:basedOn w:val="DefaultParagraphFont"/>
    <w:uiPriority w:val="32"/>
    <w:qFormat/>
    <w:rsid w:val="00336A44"/>
    <w:rPr>
      <w:b/>
      <w:bCs/>
      <w:smallCaps/>
      <w:color w:themeColor="accent1" w:themeShade="BF" w:val="2F5496"/>
      <w:spacing w:val="5"/>
    </w:rPr>
  </w:style>
  <w:style w:styleId="Header" w:type="paragraph">
    <w:name w:val="header"/>
    <w:basedOn w:val="Normal"/>
    <w:link w:val="Head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36A44"/>
  </w:style>
  <w:style w:styleId="Footer" w:type="paragraph">
    <w:name w:val="footer"/>
    <w:basedOn w:val="Normal"/>
    <w:link w:val="Foot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36A44"/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Relationship Type="http://schemas.openxmlformats.org/officeDocument/2006/relationships/image" Id="rId25" Target="media/rId25.jpg" /><Relationship Type="http://schemas.openxmlformats.org/officeDocument/2006/relationships/image" Id="rId37" Target="media/rId37.jpg" /><Relationship Type="http://schemas.openxmlformats.org/officeDocument/2006/relationships/image" Id="rId33" Target="media/rId33.jpg" /><Relationship Type="http://schemas.openxmlformats.org/officeDocument/2006/relationships/image" Id="rId21" Target="media/rId21.jpg" /><Relationship Type="http://schemas.openxmlformats.org/officeDocument/2006/relationships/image" Id="rId29" Target="media/rId29.jpg" /><Relationship Type="http://schemas.openxmlformats.org/officeDocument/2006/relationships/hyperlink" Id="rId46" Target="https://app.knovel.com/hotlink/toc/id:kpIEWMS004/introduction-electronic/introduction-electronic" TargetMode="External" /><Relationship Type="http://schemas.openxmlformats.org/officeDocument/2006/relationships/hyperlink" Id="rId43" Target="https://ndwireless.github.io/radioware/" TargetMode="External" /><Relationship Type="http://schemas.openxmlformats.org/officeDocument/2006/relationships/hyperlink" Id="rId44" Target="https://www.amazon.com/dp/B08GVGCKCC" TargetMode="External" /><Relationship Type="http://schemas.openxmlformats.org/officeDocument/2006/relationships/hyperlink" Id="rId45" Target="https://www.analog.com/en/education/education-library/software-defined-radio-for-engineers.html" TargetMode="External" /><Relationship Type="http://schemas.openxmlformats.org/officeDocument/2006/relationships/hyperlink" Id="rId32" Target="mailto:bhochwald@nd.edu" TargetMode="External" /><Relationship Type="http://schemas.openxmlformats.org/officeDocument/2006/relationships/hyperlink" Id="rId28" Target="mailto:cmanning@nd.edu" TargetMode="External" /><Relationship Type="http://schemas.openxmlformats.org/officeDocument/2006/relationships/hyperlink" Id="rId24" Target="mailto:hbicer@nd.edu" TargetMode="External" /><Relationship Type="http://schemas.openxmlformats.org/officeDocument/2006/relationships/hyperlink" Id="rId36" Target="mailto:jchisum@nd.edu" TargetMode="External" /><Relationship Type="http://schemas.openxmlformats.org/officeDocument/2006/relationships/hyperlink" Id="rId20" Target="mailto:jnl@nd.edu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app.knovel.com/hotlink/toc/id:kpIEWMS004/introduction-electronic/introduction-electronic" TargetMode="External" /><Relationship Type="http://schemas.openxmlformats.org/officeDocument/2006/relationships/hyperlink" Id="rId43" Target="https://ndwireless.github.io/radioware/" TargetMode="External" /><Relationship Type="http://schemas.openxmlformats.org/officeDocument/2006/relationships/hyperlink" Id="rId44" Target="https://www.amazon.com/dp/B08GVGCKCC" TargetMode="External" /><Relationship Type="http://schemas.openxmlformats.org/officeDocument/2006/relationships/hyperlink" Id="rId45" Target="https://www.analog.com/en/education/education-library/software-defined-radio-for-engineers.html" TargetMode="External" /><Relationship Type="http://schemas.openxmlformats.org/officeDocument/2006/relationships/hyperlink" Id="rId32" Target="mailto:bhochwald@nd.edu" TargetMode="External" /><Relationship Type="http://schemas.openxmlformats.org/officeDocument/2006/relationships/hyperlink" Id="rId28" Target="mailto:cmanning@nd.edu" TargetMode="External" /><Relationship Type="http://schemas.openxmlformats.org/officeDocument/2006/relationships/hyperlink" Id="rId24" Target="mailto:hbicer@nd.edu" TargetMode="External" /><Relationship Type="http://schemas.openxmlformats.org/officeDocument/2006/relationships/hyperlink" Id="rId36" Target="mailto:jchisum@nd.edu" TargetMode="External" /><Relationship Type="http://schemas.openxmlformats.org/officeDocument/2006/relationships/hyperlink" Id="rId20" Target="mailto:jnl@nd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/>
  <cp:keywords/>
  <dcterms:created xsi:type="dcterms:W3CDTF">2026-03-16T23:58:19Z</dcterms:created>
  <dcterms:modified xsi:type="dcterms:W3CDTF">2026-03-16T23:58:19Z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opyright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EE-30023/31023, Department of Electrical Engineering, University of Notre Dame</vt:lpwstr>
  </property>
  <property fmtid="{D5CDD505-2E9C-101B-9397-08002B2CF9AE}" pid="9" name="toc-title">
    <vt:lpwstr>Table of contents</vt:lpwstr>
  </property>
</Properties>
</file>